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49626" w14:textId="1B24639B" w:rsidR="006D54A8" w:rsidRPr="005C6F2B" w:rsidRDefault="005C6F2B" w:rsidP="00476E03">
      <w:pPr>
        <w:spacing w:after="240" w:line="276" w:lineRule="auto"/>
        <w:jc w:val="center"/>
        <w:rPr>
          <w:rFonts w:ascii="Times New Roman" w:hAnsi="Times New Roman"/>
          <w:b/>
        </w:rPr>
      </w:pPr>
      <w:bookmarkStart w:id="0" w:name="_GoBack"/>
      <w:bookmarkEnd w:id="0"/>
      <w:r w:rsidRPr="005C6F2B">
        <w:rPr>
          <w:rFonts w:ascii="Times New Roman" w:hAnsi="Times New Roman"/>
          <w:b/>
        </w:rPr>
        <w:t>PROYECTO DE ACUERDO No</w:t>
      </w:r>
      <w:r w:rsidR="00D470D3">
        <w:rPr>
          <w:rFonts w:ascii="Times New Roman" w:hAnsi="Times New Roman"/>
          <w:b/>
        </w:rPr>
        <w:t xml:space="preserve">. 792 </w:t>
      </w:r>
      <w:r w:rsidRPr="005C6F2B">
        <w:rPr>
          <w:rFonts w:ascii="Times New Roman" w:hAnsi="Times New Roman"/>
          <w:b/>
        </w:rPr>
        <w:t>DE 2025</w:t>
      </w:r>
    </w:p>
    <w:p w14:paraId="39310AB2" w14:textId="38DD67F6" w:rsidR="005C6F2B" w:rsidRPr="006D54A8" w:rsidRDefault="006D54A8" w:rsidP="006D54A8">
      <w:pPr>
        <w:spacing w:after="240" w:line="276" w:lineRule="auto"/>
        <w:jc w:val="center"/>
        <w:rPr>
          <w:rFonts w:ascii="Times New Roman" w:hAnsi="Times New Roman"/>
          <w:b/>
          <w:bCs/>
        </w:rPr>
      </w:pPr>
      <w:r w:rsidRPr="005C6F2B">
        <w:rPr>
          <w:rFonts w:ascii="Times New Roman" w:hAnsi="Times New Roman"/>
          <w:b/>
          <w:bCs/>
        </w:rPr>
        <w:t xml:space="preserve">POR MEDIO DEL CUAL SE </w:t>
      </w:r>
      <w:r w:rsidR="00CF6E20">
        <w:rPr>
          <w:rFonts w:ascii="Times New Roman" w:hAnsi="Times New Roman"/>
          <w:b/>
          <w:bCs/>
        </w:rPr>
        <w:t>PROMUEVE</w:t>
      </w:r>
      <w:r w:rsidR="009E5BB2">
        <w:rPr>
          <w:rFonts w:ascii="Times New Roman" w:hAnsi="Times New Roman"/>
          <w:b/>
          <w:bCs/>
        </w:rPr>
        <w:t xml:space="preserve"> EL CRECIMIENTO, LA FORMALIZACIÓN Y LA ESCALABILIDAD DEL TEJIDO EMPRESARIAL Y EL ECOSISTEMA EMPRENDEDOR DEL DISTRITO CAPITAL</w:t>
      </w:r>
      <w:r w:rsidR="00EA142C">
        <w:rPr>
          <w:rFonts w:ascii="Times New Roman" w:hAnsi="Times New Roman"/>
          <w:b/>
          <w:bCs/>
        </w:rPr>
        <w:t>.</w:t>
      </w:r>
    </w:p>
    <w:p w14:paraId="29740ECE" w14:textId="77777777" w:rsidR="005C6F2B" w:rsidRPr="005C6F2B" w:rsidRDefault="005C6F2B" w:rsidP="005C6F2B">
      <w:pPr>
        <w:pStyle w:val="Prrafodelista"/>
        <w:numPr>
          <w:ilvl w:val="0"/>
          <w:numId w:val="10"/>
        </w:numPr>
        <w:spacing w:after="240" w:line="276" w:lineRule="auto"/>
        <w:contextualSpacing/>
        <w:jc w:val="both"/>
        <w:rPr>
          <w:rFonts w:ascii="Times New Roman" w:hAnsi="Times New Roman"/>
          <w:b/>
          <w:bCs/>
          <w:color w:val="auto"/>
        </w:rPr>
      </w:pPr>
      <w:r w:rsidRPr="005C6F2B">
        <w:rPr>
          <w:rFonts w:ascii="Times New Roman" w:hAnsi="Times New Roman"/>
          <w:b/>
          <w:bCs/>
          <w:color w:val="auto"/>
        </w:rPr>
        <w:t xml:space="preserve">OBJETO DEL PROYECTO: </w:t>
      </w:r>
    </w:p>
    <w:p w14:paraId="330F0BBE" w14:textId="5AB569F8" w:rsidR="009E5BB2" w:rsidRDefault="00CF6E20" w:rsidP="009E5BB2">
      <w:pPr>
        <w:spacing w:after="240" w:line="276" w:lineRule="auto"/>
        <w:jc w:val="both"/>
        <w:rPr>
          <w:rFonts w:ascii="Times New Roman" w:hAnsi="Times New Roman"/>
          <w:bCs/>
        </w:rPr>
      </w:pPr>
      <w:r>
        <w:rPr>
          <w:rFonts w:ascii="Times New Roman" w:hAnsi="Times New Roman"/>
          <w:bCs/>
        </w:rPr>
        <w:t>Promover</w:t>
      </w:r>
      <w:r w:rsidR="009E5BB2" w:rsidRPr="006D54A8">
        <w:rPr>
          <w:rFonts w:ascii="Times New Roman" w:hAnsi="Times New Roman"/>
          <w:bCs/>
        </w:rPr>
        <w:t xml:space="preserve"> el crecimiento, </w:t>
      </w:r>
      <w:r w:rsidR="009E5BB2">
        <w:rPr>
          <w:rFonts w:ascii="Times New Roman" w:hAnsi="Times New Roman"/>
          <w:bCs/>
        </w:rPr>
        <w:t>la f</w:t>
      </w:r>
      <w:r w:rsidR="009E5BB2" w:rsidRPr="006D54A8">
        <w:rPr>
          <w:rFonts w:ascii="Times New Roman" w:hAnsi="Times New Roman"/>
          <w:bCs/>
        </w:rPr>
        <w:t xml:space="preserve">ormalización y </w:t>
      </w:r>
      <w:r w:rsidR="009E5BB2">
        <w:rPr>
          <w:rFonts w:ascii="Times New Roman" w:hAnsi="Times New Roman"/>
          <w:bCs/>
        </w:rPr>
        <w:t xml:space="preserve">la </w:t>
      </w:r>
      <w:r w:rsidR="009E5BB2" w:rsidRPr="006D54A8">
        <w:rPr>
          <w:rFonts w:ascii="Times New Roman" w:hAnsi="Times New Roman"/>
          <w:bCs/>
        </w:rPr>
        <w:t>escalabilidad del tejido empresarial</w:t>
      </w:r>
      <w:r w:rsidR="009E5BB2">
        <w:rPr>
          <w:rFonts w:ascii="Times New Roman" w:hAnsi="Times New Roman"/>
          <w:bCs/>
        </w:rPr>
        <w:t xml:space="preserve"> y el ecosistema emprendedor del</w:t>
      </w:r>
      <w:r w:rsidR="009E5BB2" w:rsidRPr="006D54A8">
        <w:rPr>
          <w:rFonts w:ascii="Times New Roman" w:hAnsi="Times New Roman"/>
          <w:bCs/>
        </w:rPr>
        <w:t xml:space="preserve"> </w:t>
      </w:r>
      <w:r>
        <w:rPr>
          <w:rFonts w:ascii="Times New Roman" w:hAnsi="Times New Roman"/>
          <w:bCs/>
        </w:rPr>
        <w:t>D</w:t>
      </w:r>
      <w:r w:rsidR="009E5BB2" w:rsidRPr="006D54A8">
        <w:rPr>
          <w:rFonts w:ascii="Times New Roman" w:hAnsi="Times New Roman"/>
          <w:bCs/>
        </w:rPr>
        <w:t>istrit</w:t>
      </w:r>
      <w:r w:rsidR="009E5BB2">
        <w:rPr>
          <w:rFonts w:ascii="Times New Roman" w:hAnsi="Times New Roman"/>
          <w:bCs/>
        </w:rPr>
        <w:t xml:space="preserve">o </w:t>
      </w:r>
      <w:r>
        <w:rPr>
          <w:rFonts w:ascii="Times New Roman" w:hAnsi="Times New Roman"/>
          <w:bCs/>
        </w:rPr>
        <w:t>C</w:t>
      </w:r>
      <w:r w:rsidR="009E5BB2">
        <w:rPr>
          <w:rFonts w:ascii="Times New Roman" w:hAnsi="Times New Roman"/>
          <w:bCs/>
        </w:rPr>
        <w:t xml:space="preserve">apital, mediante la consolidación de </w:t>
      </w:r>
      <w:r w:rsidR="009E5BB2" w:rsidRPr="006D54A8">
        <w:rPr>
          <w:rFonts w:ascii="Times New Roman" w:hAnsi="Times New Roman"/>
          <w:bCs/>
        </w:rPr>
        <w:t xml:space="preserve">un entorno institucional, cultural y financiero </w:t>
      </w:r>
      <w:r w:rsidR="009E5BB2">
        <w:rPr>
          <w:rFonts w:ascii="Times New Roman" w:hAnsi="Times New Roman"/>
          <w:bCs/>
        </w:rPr>
        <w:t xml:space="preserve">que </w:t>
      </w:r>
      <w:r>
        <w:rPr>
          <w:rFonts w:ascii="Times New Roman" w:hAnsi="Times New Roman"/>
          <w:bCs/>
        </w:rPr>
        <w:t>dinamice las fuentes de financiación para emprendedores y empresarios en la ciudad, a través de</w:t>
      </w:r>
      <w:r w:rsidR="006D54A8" w:rsidRPr="006D54A8">
        <w:rPr>
          <w:rFonts w:ascii="Times New Roman" w:hAnsi="Times New Roman"/>
          <w:bCs/>
        </w:rPr>
        <w:t xml:space="preserve"> Fondos de Inversión Colectiva y la industria de capital privado</w:t>
      </w:r>
      <w:r>
        <w:rPr>
          <w:rFonts w:ascii="Times New Roman" w:hAnsi="Times New Roman"/>
          <w:bCs/>
        </w:rPr>
        <w:t>.</w:t>
      </w:r>
    </w:p>
    <w:p w14:paraId="20D6B6AA" w14:textId="38586B09" w:rsidR="005C6F2B" w:rsidRPr="005C6F2B" w:rsidRDefault="005C6F2B" w:rsidP="009E5BB2">
      <w:pPr>
        <w:spacing w:after="240" w:line="276" w:lineRule="auto"/>
        <w:jc w:val="both"/>
        <w:rPr>
          <w:rFonts w:ascii="Times New Roman" w:hAnsi="Times New Roman"/>
          <w:b/>
          <w:bCs/>
          <w:color w:val="auto"/>
        </w:rPr>
      </w:pPr>
      <w:r w:rsidRPr="005C6F2B">
        <w:rPr>
          <w:rFonts w:ascii="Times New Roman" w:hAnsi="Times New Roman"/>
          <w:b/>
          <w:bCs/>
          <w:color w:val="auto"/>
        </w:rPr>
        <w:t>MARCO JURÍDICO:</w:t>
      </w:r>
    </w:p>
    <w:p w14:paraId="682A5892" w14:textId="77777777" w:rsidR="005C6F2B" w:rsidRPr="005C6F2B" w:rsidRDefault="005C6F2B" w:rsidP="005C6F2B">
      <w:pPr>
        <w:spacing w:after="240" w:line="276" w:lineRule="auto"/>
        <w:contextualSpacing/>
        <w:rPr>
          <w:rFonts w:ascii="Times New Roman" w:hAnsi="Times New Roman"/>
          <w:b/>
        </w:rPr>
      </w:pPr>
      <w:r w:rsidRPr="005C6F2B">
        <w:rPr>
          <w:rFonts w:ascii="Times New Roman" w:hAnsi="Times New Roman"/>
          <w:b/>
        </w:rPr>
        <w:t xml:space="preserve">CONSTITUCIÓN POLÍTICA DE COLOMBIA </w:t>
      </w:r>
    </w:p>
    <w:p w14:paraId="3B94B773" w14:textId="77777777" w:rsidR="005C6F2B" w:rsidRPr="005C6F2B" w:rsidRDefault="005C6F2B" w:rsidP="005C6F2B">
      <w:pPr>
        <w:spacing w:after="240" w:line="276" w:lineRule="auto"/>
        <w:contextualSpacing/>
        <w:rPr>
          <w:rFonts w:ascii="Times New Roman" w:hAnsi="Times New Roman"/>
        </w:rPr>
      </w:pPr>
    </w:p>
    <w:p w14:paraId="534E8B85" w14:textId="77777777" w:rsidR="005C6F2B" w:rsidRPr="005C6F2B" w:rsidRDefault="005C6F2B" w:rsidP="005C6F2B">
      <w:pPr>
        <w:spacing w:after="240" w:line="276" w:lineRule="auto"/>
        <w:contextualSpacing/>
        <w:jc w:val="both"/>
        <w:rPr>
          <w:rFonts w:ascii="Times New Roman" w:hAnsi="Times New Roman"/>
          <w:b/>
        </w:rPr>
      </w:pPr>
      <w:r w:rsidRPr="005C6F2B">
        <w:rPr>
          <w:rFonts w:ascii="Times New Roman" w:hAnsi="Times New Roman"/>
          <w:b/>
        </w:rPr>
        <w:t>Artículo 1.</w:t>
      </w:r>
      <w:r w:rsidRPr="005C6F2B">
        <w:rPr>
          <w:rFonts w:ascii="Times New Roman" w:hAnsi="Times New Roman"/>
        </w:rPr>
        <w:t xml:space="preserve"> </w:t>
      </w:r>
      <w:r w:rsidRPr="005C6F2B">
        <w:rPr>
          <w:rFonts w:ascii="Times New Roman" w:hAnsi="Times New Roman"/>
          <w:i/>
        </w:rPr>
        <w:t>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14:paraId="074B57DE" w14:textId="77777777" w:rsidR="005C6F2B" w:rsidRPr="005C6F2B" w:rsidRDefault="005C6F2B" w:rsidP="005C6F2B">
      <w:pPr>
        <w:spacing w:after="240" w:line="276" w:lineRule="auto"/>
        <w:contextualSpacing/>
        <w:rPr>
          <w:rFonts w:ascii="Times New Roman" w:hAnsi="Times New Roman"/>
          <w:b/>
        </w:rPr>
      </w:pPr>
    </w:p>
    <w:p w14:paraId="70769E5C" w14:textId="77777777" w:rsidR="005C6F2B" w:rsidRPr="005C6F2B" w:rsidRDefault="005C6F2B" w:rsidP="005C6F2B">
      <w:pPr>
        <w:spacing w:after="240" w:line="276" w:lineRule="auto"/>
        <w:contextualSpacing/>
        <w:jc w:val="both"/>
        <w:rPr>
          <w:rFonts w:ascii="Times New Roman" w:hAnsi="Times New Roman"/>
          <w:i/>
        </w:rPr>
      </w:pPr>
      <w:r w:rsidRPr="005C6F2B">
        <w:rPr>
          <w:rFonts w:ascii="Times New Roman" w:hAnsi="Times New Roman"/>
          <w:b/>
        </w:rPr>
        <w:t>Artículo 2.</w:t>
      </w:r>
      <w:r w:rsidRPr="005C6F2B">
        <w:rPr>
          <w:rFonts w:ascii="Times New Roman" w:hAnsi="Times New Roman"/>
        </w:rPr>
        <w:t xml:space="preserve"> </w:t>
      </w:r>
      <w:r w:rsidRPr="005C6F2B">
        <w:rPr>
          <w:rFonts w:ascii="Times New Roman" w:hAnsi="Times New Roman"/>
          <w:i/>
        </w:rPr>
        <w:t xml:space="preserve">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 </w:t>
      </w:r>
    </w:p>
    <w:p w14:paraId="11A630E7" w14:textId="77777777" w:rsidR="005C6F2B" w:rsidRPr="005C6F2B" w:rsidRDefault="005C6F2B" w:rsidP="005C6F2B">
      <w:pPr>
        <w:spacing w:after="240" w:line="276" w:lineRule="auto"/>
        <w:contextualSpacing/>
        <w:jc w:val="both"/>
        <w:rPr>
          <w:rFonts w:ascii="Times New Roman" w:hAnsi="Times New Roman"/>
          <w:i/>
        </w:rPr>
      </w:pPr>
    </w:p>
    <w:p w14:paraId="2FAEBC9A" w14:textId="77777777" w:rsidR="005C6F2B" w:rsidRPr="005C6F2B" w:rsidRDefault="005C6F2B" w:rsidP="005C6F2B">
      <w:pPr>
        <w:spacing w:after="240" w:line="276" w:lineRule="auto"/>
        <w:contextualSpacing/>
        <w:jc w:val="both"/>
        <w:rPr>
          <w:rFonts w:ascii="Times New Roman" w:hAnsi="Times New Roman"/>
          <w:i/>
        </w:rPr>
      </w:pPr>
      <w:r w:rsidRPr="005C6F2B">
        <w:rPr>
          <w:rFonts w:ascii="Times New Roman" w:hAnsi="Times New Roman"/>
          <w:i/>
        </w:rPr>
        <w:t>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5D8619A3" w14:textId="77777777" w:rsidR="005C6F2B" w:rsidRPr="005C6F2B" w:rsidRDefault="005C6F2B" w:rsidP="005C6F2B">
      <w:pPr>
        <w:spacing w:after="240" w:line="276" w:lineRule="auto"/>
        <w:contextualSpacing/>
        <w:rPr>
          <w:rFonts w:ascii="Times New Roman" w:hAnsi="Times New Roman"/>
        </w:rPr>
      </w:pPr>
    </w:p>
    <w:p w14:paraId="7C927D2B" w14:textId="77777777" w:rsidR="005C6F2B" w:rsidRPr="005C6F2B" w:rsidRDefault="005C6F2B" w:rsidP="005C6F2B">
      <w:pPr>
        <w:spacing w:after="240" w:line="276" w:lineRule="auto"/>
        <w:contextualSpacing/>
        <w:rPr>
          <w:rFonts w:ascii="Times New Roman" w:hAnsi="Times New Roman"/>
          <w:i/>
          <w:lang w:val="es-CO"/>
        </w:rPr>
      </w:pPr>
      <w:r w:rsidRPr="005C6F2B">
        <w:rPr>
          <w:rFonts w:ascii="Times New Roman" w:hAnsi="Times New Roman"/>
          <w:b/>
          <w:lang w:val="es-CO"/>
        </w:rPr>
        <w:t>ARTICULO 209.</w:t>
      </w:r>
      <w:r w:rsidRPr="005C6F2B">
        <w:rPr>
          <w:rFonts w:ascii="Times New Roman" w:hAnsi="Times New Roman"/>
          <w:lang w:val="es-CO"/>
        </w:rPr>
        <w:t xml:space="preserve"> </w:t>
      </w:r>
      <w:r w:rsidRPr="005C6F2B">
        <w:rPr>
          <w:rFonts w:ascii="Times New Roman" w:hAnsi="Times New Roman"/>
          <w:i/>
          <w:lang w:val="es-CO"/>
        </w:rPr>
        <w:t xml:space="preserve">La función administrativa está al servicio de los intereses generales y se desarrolla con fundamento en los principios de igualdad, moralidad, eficacia, economía, </w:t>
      </w:r>
      <w:r w:rsidRPr="005C6F2B">
        <w:rPr>
          <w:rFonts w:ascii="Times New Roman" w:hAnsi="Times New Roman"/>
          <w:i/>
          <w:lang w:val="es-CO"/>
        </w:rPr>
        <w:lastRenderedPageBreak/>
        <w:t>celeridad, imparcialidad y publicidad, mediante la descentralización, la delegación y la desconcentración de funciones.</w:t>
      </w:r>
    </w:p>
    <w:p w14:paraId="1AD8DD99" w14:textId="77777777" w:rsidR="005C6F2B" w:rsidRPr="005C6F2B" w:rsidRDefault="005C6F2B" w:rsidP="005C6F2B">
      <w:pPr>
        <w:spacing w:after="240" w:line="276" w:lineRule="auto"/>
        <w:contextualSpacing/>
        <w:rPr>
          <w:rFonts w:ascii="Times New Roman" w:hAnsi="Times New Roman"/>
          <w:lang w:val="es-CO"/>
        </w:rPr>
      </w:pPr>
    </w:p>
    <w:p w14:paraId="0CB9FD8B" w14:textId="77777777" w:rsidR="005C6F2B" w:rsidRPr="005C6F2B" w:rsidRDefault="005C6F2B" w:rsidP="005C6F2B">
      <w:pPr>
        <w:spacing w:after="240" w:line="276" w:lineRule="auto"/>
        <w:contextualSpacing/>
        <w:rPr>
          <w:rFonts w:ascii="Times New Roman" w:hAnsi="Times New Roman"/>
          <w:i/>
          <w:lang w:val="es-CO"/>
        </w:rPr>
      </w:pPr>
      <w:r w:rsidRPr="005C6F2B">
        <w:rPr>
          <w:rFonts w:ascii="Times New Roman" w:hAnsi="Times New Roman"/>
          <w:i/>
          <w:lang w:val="es-CO"/>
        </w:rPr>
        <w:t>Las autoridades administrativas deben coordinar sus actuaciones para el adecuado cumplimiento de los fines del Estado. La administración pública, en todos sus órdenes, tendrá un control interno que se ejercerá en los términos que señale la ley.</w:t>
      </w:r>
    </w:p>
    <w:p w14:paraId="5640717F" w14:textId="77777777" w:rsidR="005C6F2B" w:rsidRPr="005C6F2B" w:rsidRDefault="005C6F2B" w:rsidP="005C6F2B">
      <w:pPr>
        <w:spacing w:after="240" w:line="276" w:lineRule="auto"/>
        <w:contextualSpacing/>
        <w:rPr>
          <w:rFonts w:ascii="Times New Roman" w:hAnsi="Times New Roman"/>
          <w:lang w:val="es-CO"/>
        </w:rPr>
      </w:pPr>
    </w:p>
    <w:p w14:paraId="014EF13A" w14:textId="77777777" w:rsidR="005C6F2B" w:rsidRPr="005C6F2B" w:rsidRDefault="005C6F2B" w:rsidP="005C6F2B">
      <w:pPr>
        <w:spacing w:after="240" w:line="276" w:lineRule="auto"/>
        <w:contextualSpacing/>
        <w:jc w:val="both"/>
        <w:rPr>
          <w:rFonts w:ascii="Times New Roman" w:hAnsi="Times New Roman"/>
        </w:rPr>
      </w:pPr>
      <w:r w:rsidRPr="005C6F2B">
        <w:rPr>
          <w:rFonts w:ascii="Times New Roman" w:hAnsi="Times New Roman"/>
          <w:b/>
        </w:rPr>
        <w:t>Artículo 333.</w:t>
      </w:r>
      <w:r w:rsidRPr="005C6F2B">
        <w:rPr>
          <w:rFonts w:ascii="Times New Roman" w:hAnsi="Times New Roman"/>
        </w:rPr>
        <w:t xml:space="preserve"> </w:t>
      </w:r>
      <w:r w:rsidRPr="005C6F2B">
        <w:rPr>
          <w:rFonts w:ascii="Times New Roman" w:hAnsi="Times New Roman"/>
          <w:i/>
        </w:rPr>
        <w:t xml:space="preserve">La actividad económica y la iniciativa privada son libres, dentro de los límites del bien común. Para su ejercicio, nadie podrá exigir permisos previos ni requisitos, sin autorización de la ley. La libre competencia económica es un derecho de todos que supone responsabilidades. La empresa, como base del desarrollo, tiene una función social que implica obligaciones. </w:t>
      </w:r>
      <w:r w:rsidRPr="005C6F2B">
        <w:rPr>
          <w:rFonts w:ascii="Times New Roman" w:hAnsi="Times New Roman"/>
          <w:b/>
          <w:i/>
        </w:rPr>
        <w:t>El Estado fortalecerá las organizaciones solidarias y estimulará el desarrollo empresarial</w:t>
      </w:r>
      <w:r w:rsidRPr="005C6F2B">
        <w:rPr>
          <w:rFonts w:ascii="Times New Roman" w:hAnsi="Times New Roman"/>
          <w:i/>
        </w:rPr>
        <w:t>. El Estado, por mandato de la ley, impedirá que se obstruya o se restrinja la libertad económica y evitará o controlará cualquier abuso que personas o empresas hagan de su posición dominante en el mercado nacional. La ley delimitará el alcance de la libertad económica cuando así lo exijan el interés social, el ambiente y el patrimonio cultural de la Nación.</w:t>
      </w:r>
    </w:p>
    <w:p w14:paraId="4C88FA9D" w14:textId="77777777" w:rsidR="005C6F2B" w:rsidRPr="005C6F2B" w:rsidRDefault="005C6F2B" w:rsidP="005C6F2B">
      <w:pPr>
        <w:spacing w:after="240" w:line="276" w:lineRule="auto"/>
        <w:contextualSpacing/>
        <w:rPr>
          <w:rFonts w:ascii="Times New Roman" w:hAnsi="Times New Roman"/>
        </w:rPr>
      </w:pPr>
    </w:p>
    <w:p w14:paraId="3E0329E2" w14:textId="77777777" w:rsidR="005C6F2B" w:rsidRDefault="005C6F2B" w:rsidP="005C6F2B">
      <w:pPr>
        <w:spacing w:after="240" w:line="276" w:lineRule="auto"/>
        <w:contextualSpacing/>
        <w:jc w:val="both"/>
        <w:rPr>
          <w:rFonts w:ascii="Times New Roman" w:hAnsi="Times New Roman"/>
          <w:i/>
        </w:rPr>
      </w:pPr>
      <w:r w:rsidRPr="005C6F2B">
        <w:rPr>
          <w:rFonts w:ascii="Times New Roman" w:hAnsi="Times New Roman"/>
          <w:b/>
        </w:rPr>
        <w:t xml:space="preserve">Artículo 335. </w:t>
      </w:r>
      <w:r w:rsidRPr="005C6F2B">
        <w:rPr>
          <w:rFonts w:ascii="Times New Roman" w:hAnsi="Times New Roman"/>
          <w:i/>
        </w:rPr>
        <w:t>Las actividades financiera, bursátil, aseguradora y cualquier otra relacionada con el manejo, aprovechamiento e inversión de los recursos de captación a las que se refiere el literal d) del numeral 19 del artículo 150 son de interés público y sólo pueden ser ejercidas previa autorización del Estado, conforme a la ley, la cual regulará la forma de intervención del Gobierno en estas materias y promoverá la democratización del crédito.</w:t>
      </w:r>
    </w:p>
    <w:p w14:paraId="1A6AA808" w14:textId="77777777" w:rsidR="00A7601A" w:rsidRDefault="00A7601A" w:rsidP="005C6F2B">
      <w:pPr>
        <w:spacing w:after="240" w:line="276" w:lineRule="auto"/>
        <w:contextualSpacing/>
        <w:jc w:val="both"/>
        <w:rPr>
          <w:rFonts w:ascii="Times New Roman" w:hAnsi="Times New Roman"/>
          <w:i/>
        </w:rPr>
      </w:pPr>
    </w:p>
    <w:p w14:paraId="08BD0816" w14:textId="77777777" w:rsidR="00A7601A" w:rsidRDefault="00A7601A" w:rsidP="005C6F2B">
      <w:pPr>
        <w:spacing w:after="240" w:line="276" w:lineRule="auto"/>
        <w:contextualSpacing/>
        <w:jc w:val="both"/>
        <w:rPr>
          <w:rFonts w:ascii="Times New Roman" w:hAnsi="Times New Roman"/>
          <w:b/>
          <w:bCs/>
        </w:rPr>
      </w:pPr>
      <w:r>
        <w:rPr>
          <w:rFonts w:ascii="Times New Roman" w:hAnsi="Times New Roman"/>
          <w:b/>
          <w:bCs/>
        </w:rPr>
        <w:t>DECRETO 2555 DE 2010</w:t>
      </w:r>
    </w:p>
    <w:p w14:paraId="56EBEAEA" w14:textId="77777777" w:rsidR="00A7601A" w:rsidRDefault="00A7601A" w:rsidP="005C6F2B">
      <w:pPr>
        <w:spacing w:after="240" w:line="276" w:lineRule="auto"/>
        <w:contextualSpacing/>
        <w:jc w:val="both"/>
        <w:rPr>
          <w:rFonts w:ascii="Times New Roman" w:hAnsi="Times New Roman"/>
          <w:b/>
          <w:bCs/>
        </w:rPr>
      </w:pPr>
    </w:p>
    <w:p w14:paraId="339FF251" w14:textId="77777777" w:rsidR="00A7601A" w:rsidRDefault="00A7601A" w:rsidP="005C6F2B">
      <w:pPr>
        <w:spacing w:after="240" w:line="276" w:lineRule="auto"/>
        <w:contextualSpacing/>
        <w:jc w:val="both"/>
        <w:rPr>
          <w:rFonts w:ascii="Times New Roman" w:hAnsi="Times New Roman"/>
          <w:b/>
          <w:bCs/>
        </w:rPr>
      </w:pPr>
      <w:r w:rsidRPr="00A7601A">
        <w:rPr>
          <w:rFonts w:ascii="Times New Roman" w:hAnsi="Times New Roman"/>
          <w:b/>
          <w:bCs/>
        </w:rPr>
        <w:t>A</w:t>
      </w:r>
      <w:r>
        <w:rPr>
          <w:rFonts w:ascii="Times New Roman" w:hAnsi="Times New Roman"/>
          <w:b/>
          <w:bCs/>
        </w:rPr>
        <w:t>rtículo</w:t>
      </w:r>
      <w:r w:rsidRPr="00A7601A">
        <w:rPr>
          <w:rFonts w:ascii="Times New Roman" w:hAnsi="Times New Roman"/>
          <w:b/>
          <w:bCs/>
        </w:rPr>
        <w:t xml:space="preserve"> 3.1.1.1.1. Sociedades autorizadas y ámbito de aplicación</w:t>
      </w:r>
      <w:r w:rsidRPr="00A7601A">
        <w:rPr>
          <w:rFonts w:ascii="Times New Roman" w:hAnsi="Times New Roman"/>
          <w:bCs/>
        </w:rPr>
        <w:t>. Los Fondos de Inversión Colectiva previstos en esta Parte solo podrán ser administrados por sociedades comisionistas de bolsa de valores, sociedades fiduciarias y sociedades administradoras de inversión, las cuales en lo relativo a Fondos de Inversión Colectiva se denominarán genéricamente sociedades administradoras de Fondos de Inversión Colectiva.</w:t>
      </w:r>
    </w:p>
    <w:p w14:paraId="1A1FE911" w14:textId="77777777" w:rsidR="00A7601A" w:rsidRDefault="00A7601A" w:rsidP="005C6F2B">
      <w:pPr>
        <w:spacing w:after="240" w:line="276" w:lineRule="auto"/>
        <w:contextualSpacing/>
        <w:jc w:val="both"/>
        <w:rPr>
          <w:rFonts w:ascii="Times New Roman" w:hAnsi="Times New Roman"/>
        </w:rPr>
      </w:pPr>
      <w:r>
        <w:rPr>
          <w:rFonts w:ascii="Times New Roman" w:hAnsi="Times New Roman"/>
          <w:b/>
          <w:bCs/>
        </w:rPr>
        <w:t>Artículo</w:t>
      </w:r>
      <w:r w:rsidRPr="00A7601A">
        <w:rPr>
          <w:rFonts w:ascii="Times New Roman" w:hAnsi="Times New Roman"/>
          <w:b/>
          <w:bCs/>
        </w:rPr>
        <w:t xml:space="preserve"> 3.1.1.1.4. </w:t>
      </w:r>
      <w:r w:rsidRPr="00811587">
        <w:rPr>
          <w:rFonts w:ascii="Times New Roman" w:hAnsi="Times New Roman"/>
          <w:b/>
        </w:rPr>
        <w:t>Prevalencia de los intereses de los inversionistas.</w:t>
      </w:r>
      <w:r w:rsidRPr="00A7601A">
        <w:rPr>
          <w:rFonts w:ascii="Times New Roman" w:hAnsi="Times New Roman"/>
        </w:rPr>
        <w:t xml:space="preserve"> Las sociedades administradoras de Fondos de Inversión Colectiva deberán administrar los Fondos de Inversión Colectiva dando prevalencia a los intereses de los inversionistas sobre cualquier otro interés, </w:t>
      </w:r>
      <w:r w:rsidRPr="00A7601A">
        <w:rPr>
          <w:rFonts w:ascii="Times New Roman" w:hAnsi="Times New Roman"/>
        </w:rPr>
        <w:lastRenderedPageBreak/>
        <w:t>incluyendo los de la Sociedad Administradora; sus accionistas; sus administradores; sus funcionarios; sus filiales o subsidiarias, su matriz o las filiales o subsidiarias de esta.</w:t>
      </w:r>
    </w:p>
    <w:p w14:paraId="553CEA45" w14:textId="77777777" w:rsidR="00A7601A" w:rsidRDefault="00A7601A" w:rsidP="005C6F2B">
      <w:pPr>
        <w:spacing w:after="240" w:line="276" w:lineRule="auto"/>
        <w:contextualSpacing/>
        <w:jc w:val="both"/>
        <w:rPr>
          <w:rFonts w:ascii="Times New Roman" w:hAnsi="Times New Roman"/>
        </w:rPr>
      </w:pPr>
    </w:p>
    <w:p w14:paraId="1CF442A5" w14:textId="77777777" w:rsidR="00A7601A" w:rsidRDefault="00A7601A" w:rsidP="005C6F2B">
      <w:pPr>
        <w:spacing w:after="240" w:line="276" w:lineRule="auto"/>
        <w:contextualSpacing/>
        <w:jc w:val="both"/>
        <w:rPr>
          <w:rFonts w:ascii="Times New Roman" w:hAnsi="Times New Roman"/>
          <w:bCs/>
        </w:rPr>
      </w:pPr>
      <w:r w:rsidRPr="00A7601A">
        <w:rPr>
          <w:rFonts w:ascii="Times New Roman" w:hAnsi="Times New Roman"/>
          <w:b/>
          <w:bCs/>
        </w:rPr>
        <w:t>A</w:t>
      </w:r>
      <w:r>
        <w:rPr>
          <w:rFonts w:ascii="Times New Roman" w:hAnsi="Times New Roman"/>
          <w:b/>
          <w:bCs/>
        </w:rPr>
        <w:t>rtículo</w:t>
      </w:r>
      <w:r w:rsidRPr="00A7601A">
        <w:rPr>
          <w:rFonts w:ascii="Times New Roman" w:hAnsi="Times New Roman"/>
          <w:b/>
          <w:bCs/>
        </w:rPr>
        <w:t xml:space="preserve"> 3.1.1.2.1. Definición de Fondo de Inversión Colectiva. </w:t>
      </w:r>
      <w:r w:rsidRPr="00A7601A">
        <w:rPr>
          <w:rFonts w:ascii="Times New Roman" w:hAnsi="Times New Roman"/>
          <w:bCs/>
        </w:rPr>
        <w:t>Para los efectos de esta Parte se entiende por Fondo de Inversión Colectiva todo mecanismo o vehículo de captación o administración de sumas de dinero u otros activos, integrado con el aporte de un número plural de personas determinables una vez el fondo entre en operación, recursos que serán gestionados de manera colectiva para obtener resultados económicos también colectivos.</w:t>
      </w:r>
    </w:p>
    <w:p w14:paraId="61AD64CB" w14:textId="77777777" w:rsidR="00A7601A" w:rsidRDefault="00A7601A" w:rsidP="005C6F2B">
      <w:pPr>
        <w:spacing w:after="240" w:line="276" w:lineRule="auto"/>
        <w:contextualSpacing/>
        <w:jc w:val="both"/>
        <w:rPr>
          <w:rFonts w:ascii="Times New Roman" w:hAnsi="Times New Roman"/>
          <w:b/>
          <w:bCs/>
        </w:rPr>
      </w:pPr>
    </w:p>
    <w:p w14:paraId="5400AA12" w14:textId="77777777" w:rsidR="00A7601A" w:rsidRDefault="00A7601A" w:rsidP="005C6F2B">
      <w:pPr>
        <w:spacing w:after="240" w:line="276" w:lineRule="auto"/>
        <w:contextualSpacing/>
        <w:jc w:val="both"/>
        <w:rPr>
          <w:rFonts w:ascii="Times New Roman" w:hAnsi="Times New Roman"/>
          <w:bCs/>
        </w:rPr>
      </w:pPr>
      <w:r w:rsidRPr="00A7601A">
        <w:rPr>
          <w:rFonts w:ascii="Times New Roman" w:hAnsi="Times New Roman"/>
          <w:b/>
          <w:bCs/>
        </w:rPr>
        <w:t>A</w:t>
      </w:r>
      <w:r>
        <w:rPr>
          <w:rFonts w:ascii="Times New Roman" w:hAnsi="Times New Roman"/>
          <w:b/>
          <w:bCs/>
        </w:rPr>
        <w:t>rtículo</w:t>
      </w:r>
      <w:r w:rsidRPr="00A7601A">
        <w:rPr>
          <w:rFonts w:ascii="Times New Roman" w:hAnsi="Times New Roman"/>
          <w:b/>
          <w:bCs/>
        </w:rPr>
        <w:t xml:space="preserve"> 3.1.1.2.5. Familia de Fondos de Inversión Colectiva. </w:t>
      </w:r>
      <w:r w:rsidRPr="00A7601A">
        <w:rPr>
          <w:rFonts w:ascii="Times New Roman" w:hAnsi="Times New Roman"/>
          <w:bCs/>
        </w:rPr>
        <w:t>Las Sociedades Administradoras de Fondos de Inversión Colectiva podrán crear familias de Fondos de Inversión Colectiva con el fin de agrupar en ellas más de un Fondo de Inversión Colectiva.</w:t>
      </w:r>
    </w:p>
    <w:p w14:paraId="388944B7" w14:textId="77777777" w:rsidR="00A7601A" w:rsidRDefault="00A7601A" w:rsidP="005C6F2B">
      <w:pPr>
        <w:spacing w:after="240" w:line="276" w:lineRule="auto"/>
        <w:contextualSpacing/>
        <w:jc w:val="both"/>
        <w:rPr>
          <w:rFonts w:ascii="Times New Roman" w:hAnsi="Times New Roman"/>
          <w:bCs/>
        </w:rPr>
      </w:pPr>
    </w:p>
    <w:p w14:paraId="051DE199" w14:textId="77777777" w:rsidR="00A7601A" w:rsidRDefault="00A7601A" w:rsidP="005C6F2B">
      <w:pPr>
        <w:spacing w:after="240" w:line="276" w:lineRule="auto"/>
        <w:contextualSpacing/>
        <w:jc w:val="both"/>
        <w:rPr>
          <w:rFonts w:ascii="Times New Roman" w:hAnsi="Times New Roman"/>
          <w:bCs/>
        </w:rPr>
      </w:pPr>
      <w:r>
        <w:rPr>
          <w:rFonts w:ascii="Times New Roman" w:hAnsi="Times New Roman"/>
          <w:b/>
          <w:bCs/>
        </w:rPr>
        <w:t>Artículo</w:t>
      </w:r>
      <w:r w:rsidRPr="00A7601A">
        <w:rPr>
          <w:rFonts w:ascii="Times New Roman" w:hAnsi="Times New Roman"/>
          <w:b/>
          <w:bCs/>
        </w:rPr>
        <w:t xml:space="preserve"> 3.1.1.4.1. Política de inversión.</w:t>
      </w:r>
      <w:r w:rsidRPr="00A7601A">
        <w:rPr>
          <w:rFonts w:ascii="Times New Roman" w:hAnsi="Times New Roman"/>
          <w:bCs/>
        </w:rPr>
        <w:t xml:space="preserve"> La política de inversión del fondo de inversión o la familia de Fondos de Inversión Colectiva deberá estar definida de manera previa y clara en el reglamento de aquel y en el reglamento marco de esta, así como en el prospecto, de forma tal que sea comprensible para los inversionistas y el público en general.</w:t>
      </w:r>
    </w:p>
    <w:p w14:paraId="66645823" w14:textId="77777777" w:rsidR="00A7601A" w:rsidRDefault="00A7601A" w:rsidP="005C6F2B">
      <w:pPr>
        <w:spacing w:after="240" w:line="276" w:lineRule="auto"/>
        <w:contextualSpacing/>
        <w:jc w:val="both"/>
        <w:rPr>
          <w:rFonts w:ascii="Times New Roman" w:hAnsi="Times New Roman"/>
          <w:bCs/>
        </w:rPr>
      </w:pPr>
    </w:p>
    <w:p w14:paraId="32962157" w14:textId="77777777" w:rsidR="00A7601A" w:rsidRDefault="00A7601A" w:rsidP="00A7601A">
      <w:pPr>
        <w:spacing w:after="240" w:line="276" w:lineRule="auto"/>
        <w:contextualSpacing/>
        <w:jc w:val="both"/>
        <w:rPr>
          <w:rFonts w:ascii="Times New Roman" w:hAnsi="Times New Roman"/>
          <w:bCs/>
          <w:lang w:val="es-CO"/>
        </w:rPr>
      </w:pPr>
      <w:r w:rsidRPr="00A7601A">
        <w:rPr>
          <w:rFonts w:ascii="Times New Roman" w:hAnsi="Times New Roman"/>
          <w:b/>
          <w:bCs/>
          <w:lang w:val="es-CO"/>
        </w:rPr>
        <w:t>Artículo 3.1.1.5.1.</w:t>
      </w:r>
      <w:r>
        <w:rPr>
          <w:rFonts w:ascii="Times New Roman" w:hAnsi="Times New Roman"/>
          <w:bCs/>
          <w:lang w:val="es-CO"/>
        </w:rPr>
        <w:t xml:space="preserve"> </w:t>
      </w:r>
      <w:r w:rsidRPr="00A7601A">
        <w:rPr>
          <w:rFonts w:ascii="Times New Roman" w:hAnsi="Times New Roman"/>
          <w:b/>
          <w:bCs/>
          <w:lang w:val="es-CO"/>
        </w:rPr>
        <w:t>Operaciones de naturaleza apalancada en los fondos de inversión colectiva</w:t>
      </w:r>
      <w:r w:rsidRPr="00A7601A">
        <w:rPr>
          <w:rFonts w:ascii="Times New Roman" w:hAnsi="Times New Roman"/>
          <w:bCs/>
          <w:lang w:val="es-CO"/>
        </w:rPr>
        <w:t>. Son aquellas operaciones que permiten ampliar la exposición del fondo de inversión colectiva por encima del valor de su patrimonio, las cuales podrán realizarse siempre que esté expresamente establecido en el reglamento del respectivo fondo de inversión colectiva.</w:t>
      </w:r>
    </w:p>
    <w:p w14:paraId="4489CC4A" w14:textId="77777777" w:rsidR="00A7601A" w:rsidRDefault="00A7601A" w:rsidP="00A7601A">
      <w:pPr>
        <w:spacing w:after="240" w:line="276" w:lineRule="auto"/>
        <w:contextualSpacing/>
        <w:jc w:val="both"/>
        <w:rPr>
          <w:rFonts w:ascii="Times New Roman" w:hAnsi="Times New Roman"/>
          <w:bCs/>
          <w:lang w:val="es-CO"/>
        </w:rPr>
      </w:pPr>
    </w:p>
    <w:p w14:paraId="756F09DF" w14:textId="77777777" w:rsidR="00A7601A" w:rsidRDefault="00A7601A" w:rsidP="00A7601A">
      <w:pPr>
        <w:spacing w:after="240" w:line="276" w:lineRule="auto"/>
        <w:contextualSpacing/>
        <w:jc w:val="both"/>
        <w:rPr>
          <w:rFonts w:ascii="Times New Roman" w:hAnsi="Times New Roman"/>
          <w:bCs/>
          <w:lang w:val="es-CO"/>
        </w:rPr>
      </w:pPr>
      <w:r w:rsidRPr="00A7601A">
        <w:rPr>
          <w:rFonts w:ascii="Times New Roman" w:hAnsi="Times New Roman"/>
          <w:b/>
          <w:bCs/>
          <w:lang w:val="es-CO"/>
        </w:rPr>
        <w:t>A</w:t>
      </w:r>
      <w:r>
        <w:rPr>
          <w:rFonts w:ascii="Times New Roman" w:hAnsi="Times New Roman"/>
          <w:b/>
          <w:bCs/>
          <w:lang w:val="es-CO"/>
        </w:rPr>
        <w:t>rtículo</w:t>
      </w:r>
      <w:r w:rsidRPr="00A7601A">
        <w:rPr>
          <w:rFonts w:ascii="Times New Roman" w:hAnsi="Times New Roman"/>
          <w:b/>
          <w:bCs/>
          <w:lang w:val="es-CO"/>
        </w:rPr>
        <w:t xml:space="preserve"> 3.1.4.1.1. Distribución de fondos de inversión colectiva.</w:t>
      </w:r>
      <w:r w:rsidRPr="00A7601A">
        <w:rPr>
          <w:rFonts w:ascii="Times New Roman" w:hAnsi="Times New Roman"/>
          <w:bCs/>
          <w:lang w:val="es-CO"/>
        </w:rPr>
        <w:t xml:space="preserve"> La actividad de distribución de fondos de inversión colectiva comprende la promoción de fondos de inversión colectiva con miras a la vinculación de inversionistas a dichos fondos, y solo podrá ser desarrollada por las sociedades administradoras de fondos de inversión colectiva y los distribuidores especializados de que trata el artículo</w:t>
      </w:r>
      <w:r>
        <w:rPr>
          <w:rFonts w:ascii="Times New Roman" w:hAnsi="Times New Roman"/>
          <w:bCs/>
          <w:lang w:val="es-CO"/>
        </w:rPr>
        <w:t>.</w:t>
      </w:r>
    </w:p>
    <w:p w14:paraId="3FDAABCB" w14:textId="77777777" w:rsidR="00A7601A" w:rsidRDefault="00A7601A" w:rsidP="00A7601A">
      <w:pPr>
        <w:spacing w:after="240" w:line="276" w:lineRule="auto"/>
        <w:contextualSpacing/>
        <w:jc w:val="both"/>
        <w:rPr>
          <w:rFonts w:ascii="Times New Roman" w:hAnsi="Times New Roman"/>
          <w:bCs/>
          <w:lang w:val="es-CO"/>
        </w:rPr>
      </w:pPr>
    </w:p>
    <w:p w14:paraId="42FD6748" w14:textId="77777777" w:rsidR="00A7601A" w:rsidRPr="00A7601A" w:rsidRDefault="00A7601A" w:rsidP="00A7601A">
      <w:pPr>
        <w:spacing w:after="240" w:line="276" w:lineRule="auto"/>
        <w:contextualSpacing/>
        <w:jc w:val="both"/>
        <w:rPr>
          <w:rFonts w:ascii="Times New Roman" w:hAnsi="Times New Roman"/>
          <w:bCs/>
          <w:lang w:val="es-CO"/>
        </w:rPr>
      </w:pPr>
      <w:r w:rsidRPr="00A7601A">
        <w:rPr>
          <w:rFonts w:ascii="Times New Roman" w:hAnsi="Times New Roman"/>
          <w:b/>
          <w:bCs/>
          <w:lang w:val="es-CO"/>
        </w:rPr>
        <w:t xml:space="preserve">Artículo 3.3.1.1.2. Profesionalidad. </w:t>
      </w:r>
      <w:r w:rsidRPr="00A7601A">
        <w:rPr>
          <w:rFonts w:ascii="Times New Roman" w:hAnsi="Times New Roman"/>
          <w:bCs/>
          <w:lang w:val="es-CO"/>
        </w:rPr>
        <w:t xml:space="preserve">Las sociedades administradoras de </w:t>
      </w:r>
      <w:r w:rsidRPr="00A7601A">
        <w:rPr>
          <w:rFonts w:ascii="Times New Roman" w:hAnsi="Times New Roman"/>
          <w:b/>
          <w:bCs/>
          <w:lang w:val="es-CO"/>
        </w:rPr>
        <w:t>fondos de capital privado</w:t>
      </w:r>
      <w:r w:rsidRPr="00A7601A">
        <w:rPr>
          <w:rFonts w:ascii="Times New Roman" w:hAnsi="Times New Roman"/>
          <w:bCs/>
          <w:lang w:val="es-CO"/>
        </w:rPr>
        <w:t xml:space="preserve"> deberán actuar de manera profesional, con la diligencia exigible a un experto prudente y diligente en la administración de fondos de capital privado.</w:t>
      </w:r>
    </w:p>
    <w:p w14:paraId="0E701B83" w14:textId="77777777" w:rsidR="00A7601A" w:rsidRPr="00A7601A" w:rsidRDefault="00A7601A" w:rsidP="00A7601A">
      <w:pPr>
        <w:spacing w:after="240" w:line="276" w:lineRule="auto"/>
        <w:contextualSpacing/>
        <w:jc w:val="both"/>
        <w:rPr>
          <w:rFonts w:ascii="Times New Roman" w:hAnsi="Times New Roman"/>
          <w:bCs/>
          <w:lang w:val="es-CO"/>
        </w:rPr>
      </w:pPr>
    </w:p>
    <w:p w14:paraId="7DDC28B5" w14:textId="77777777" w:rsidR="00A7601A" w:rsidRDefault="00A7601A" w:rsidP="00A7601A">
      <w:pPr>
        <w:spacing w:after="240" w:line="276" w:lineRule="auto"/>
        <w:contextualSpacing/>
        <w:jc w:val="both"/>
        <w:rPr>
          <w:rFonts w:ascii="Times New Roman" w:hAnsi="Times New Roman"/>
          <w:bCs/>
          <w:lang w:val="es-CO"/>
        </w:rPr>
      </w:pPr>
      <w:r w:rsidRPr="00A7601A">
        <w:rPr>
          <w:rFonts w:ascii="Times New Roman" w:hAnsi="Times New Roman"/>
          <w:bCs/>
          <w:lang w:val="es-CO"/>
        </w:rPr>
        <w:lastRenderedPageBreak/>
        <w:t>La administración y la gestión de los fondos de capital privado deberán realizarse en las mejores condiciones posibles para los inversionistas, teniendo en cuenta las características de las operaciones a ejecutar, la situación del mercado al momento de la ejecución, los costos asociados, la oportunidad de generar valor, las previsiones del reglamento y la política de inversión de cada fondo de capital privado y demás factores relevantes.</w:t>
      </w:r>
    </w:p>
    <w:p w14:paraId="0212A9D5" w14:textId="77777777" w:rsidR="00A7601A" w:rsidRDefault="00A7601A" w:rsidP="00A7601A">
      <w:pPr>
        <w:spacing w:after="240" w:line="276" w:lineRule="auto"/>
        <w:contextualSpacing/>
        <w:jc w:val="both"/>
        <w:rPr>
          <w:rFonts w:ascii="Times New Roman" w:hAnsi="Times New Roman"/>
          <w:bCs/>
          <w:lang w:val="es-CO"/>
        </w:rPr>
      </w:pPr>
    </w:p>
    <w:p w14:paraId="210A1072" w14:textId="77777777" w:rsidR="00A7601A" w:rsidRPr="00A7601A" w:rsidRDefault="00A7601A" w:rsidP="00A7601A">
      <w:pPr>
        <w:spacing w:after="240" w:line="276" w:lineRule="auto"/>
        <w:contextualSpacing/>
        <w:jc w:val="both"/>
        <w:rPr>
          <w:rFonts w:ascii="Times New Roman" w:hAnsi="Times New Roman"/>
          <w:bCs/>
          <w:lang w:val="es-CO"/>
        </w:rPr>
      </w:pPr>
      <w:r w:rsidRPr="00811587">
        <w:rPr>
          <w:rFonts w:ascii="Times New Roman" w:hAnsi="Times New Roman"/>
          <w:b/>
          <w:bCs/>
          <w:lang w:val="es-CO"/>
        </w:rPr>
        <w:t>A</w:t>
      </w:r>
      <w:r w:rsidR="00811587" w:rsidRPr="00811587">
        <w:rPr>
          <w:rFonts w:ascii="Times New Roman" w:hAnsi="Times New Roman"/>
          <w:b/>
          <w:bCs/>
          <w:lang w:val="es-CO"/>
        </w:rPr>
        <w:t>rtículo</w:t>
      </w:r>
      <w:r w:rsidRPr="00811587">
        <w:rPr>
          <w:rFonts w:ascii="Times New Roman" w:hAnsi="Times New Roman"/>
          <w:b/>
          <w:bCs/>
          <w:lang w:val="es-CO"/>
        </w:rPr>
        <w:t xml:space="preserve"> 3.3.2.1.1. Definición de fondos de capital privado.</w:t>
      </w:r>
      <w:r w:rsidRPr="00A7601A">
        <w:rPr>
          <w:rFonts w:ascii="Times New Roman" w:hAnsi="Times New Roman"/>
          <w:bCs/>
          <w:lang w:val="es-CO"/>
        </w:rPr>
        <w:t xml:space="preserve"> Los fondos de capital privado son fondos de inversión colectiva cerrados que deben destinar al menos las dos terceras partes (2/3) de los aportes de sus inversionistas a la adquisición de activos o derechos de contenido económico diferentes a valores inscritos en el Registro Nacional de Valores y Emisores - RNVE. Para efectos de este cálculo, no computarán los activos que indirectamente impliquen inversiones en valores inscritos en el Registro Nacional de Valores y Emisores - RNVE.</w:t>
      </w:r>
    </w:p>
    <w:p w14:paraId="1A25A482" w14:textId="77777777" w:rsidR="00A7601A" w:rsidRPr="00A7601A" w:rsidRDefault="00A7601A" w:rsidP="00A7601A">
      <w:pPr>
        <w:spacing w:after="240" w:line="276" w:lineRule="auto"/>
        <w:contextualSpacing/>
        <w:jc w:val="both"/>
        <w:rPr>
          <w:rFonts w:ascii="Times New Roman" w:hAnsi="Times New Roman"/>
          <w:bCs/>
          <w:lang w:val="es-CO"/>
        </w:rPr>
      </w:pPr>
    </w:p>
    <w:p w14:paraId="3124D775" w14:textId="77777777" w:rsidR="00A7601A" w:rsidRDefault="00A7601A" w:rsidP="00A7601A">
      <w:pPr>
        <w:spacing w:after="240" w:line="276" w:lineRule="auto"/>
        <w:contextualSpacing/>
        <w:jc w:val="both"/>
        <w:rPr>
          <w:rFonts w:ascii="Times New Roman" w:hAnsi="Times New Roman"/>
          <w:bCs/>
          <w:lang w:val="es-CO"/>
        </w:rPr>
      </w:pPr>
      <w:r w:rsidRPr="00A7601A">
        <w:rPr>
          <w:rFonts w:ascii="Times New Roman" w:hAnsi="Times New Roman"/>
          <w:bCs/>
          <w:lang w:val="es-CO"/>
        </w:rPr>
        <w:t>Los fondos de capital privado serán cerrados, lo cual implica que la sociedad administradora de fondos de capital privado únicamente estará obligada a redimir las participaciones de los inversionistas al final del plazo previsto para la duración del fondo de capital privado. En todo caso, podrán crearse fondos de capital privado en los cuales se establezcan plazos determinados para realizar la redención de las participaciones, los cuales deberán estar previamente determinados en el reglamento. El plazo mínimo de redención de las participaciones en estos fondos de capital privado no podrá ser inferior a treinta (30) días comunes.</w:t>
      </w:r>
    </w:p>
    <w:p w14:paraId="6D6A813D" w14:textId="77777777" w:rsidR="00811587" w:rsidRDefault="00811587" w:rsidP="00A7601A">
      <w:pPr>
        <w:spacing w:after="240" w:line="276" w:lineRule="auto"/>
        <w:contextualSpacing/>
        <w:jc w:val="both"/>
        <w:rPr>
          <w:rFonts w:ascii="Times New Roman" w:hAnsi="Times New Roman"/>
          <w:bCs/>
          <w:lang w:val="es-CO"/>
        </w:rPr>
      </w:pPr>
    </w:p>
    <w:p w14:paraId="18EB9EAA" w14:textId="6057C9DB" w:rsidR="006017F9" w:rsidRDefault="00811587" w:rsidP="00811587">
      <w:pPr>
        <w:spacing w:after="240" w:line="276" w:lineRule="auto"/>
        <w:contextualSpacing/>
        <w:jc w:val="both"/>
        <w:rPr>
          <w:rFonts w:ascii="Times New Roman" w:hAnsi="Times New Roman"/>
          <w:bCs/>
          <w:lang w:val="es-CO"/>
        </w:rPr>
      </w:pPr>
      <w:r w:rsidRPr="00811587">
        <w:rPr>
          <w:rFonts w:ascii="Times New Roman" w:hAnsi="Times New Roman"/>
          <w:bCs/>
          <w:lang w:val="es-CO"/>
        </w:rPr>
        <w:t>A</w:t>
      </w:r>
      <w:r w:rsidRPr="00811587">
        <w:rPr>
          <w:rFonts w:ascii="Times New Roman" w:hAnsi="Times New Roman"/>
          <w:b/>
          <w:bCs/>
          <w:lang w:val="es-CO"/>
        </w:rPr>
        <w:t>rtículo 3.3.7.2.1. Actividad de gestión de portafolios de fondos de capital privado.</w:t>
      </w:r>
      <w:r w:rsidRPr="00811587">
        <w:rPr>
          <w:rFonts w:ascii="Times New Roman" w:hAnsi="Times New Roman"/>
          <w:bCs/>
          <w:lang w:val="es-CO"/>
        </w:rPr>
        <w:t xml:space="preserve"> La actividad de gestión de portafolios de fondos de capital privado comprende la toma de decisiones de inversión, desinversión y seguimiento de las operaciones del fondo de capital privado, así como la identificación, medición, control y gestión de los riesgos inherentes al portafolio, y podrá ser desarrollada directamente por la sociedad administradora del fondo de capital privado, o por un gestor profesional en los términos establecidos en la presente Libro.</w:t>
      </w:r>
    </w:p>
    <w:p w14:paraId="5AA73EAB" w14:textId="77777777" w:rsidR="009A6B27" w:rsidRDefault="009A6B27" w:rsidP="00811587">
      <w:pPr>
        <w:spacing w:after="240" w:line="276" w:lineRule="auto"/>
        <w:contextualSpacing/>
        <w:jc w:val="both"/>
        <w:rPr>
          <w:rFonts w:ascii="Times New Roman" w:hAnsi="Times New Roman"/>
          <w:bCs/>
          <w:lang w:val="es-CO"/>
        </w:rPr>
      </w:pPr>
    </w:p>
    <w:p w14:paraId="1AEBBBDB" w14:textId="77777777" w:rsidR="009A6B27" w:rsidRDefault="009A6B27" w:rsidP="00811587">
      <w:pPr>
        <w:spacing w:after="240" w:line="276" w:lineRule="auto"/>
        <w:contextualSpacing/>
        <w:jc w:val="both"/>
        <w:rPr>
          <w:rFonts w:ascii="Times New Roman" w:hAnsi="Times New Roman"/>
          <w:bCs/>
          <w:lang w:val="es-CO"/>
        </w:rPr>
      </w:pPr>
    </w:p>
    <w:p w14:paraId="6D5AB05D" w14:textId="044AFDE6" w:rsidR="009A6B27" w:rsidRDefault="009A6B27" w:rsidP="00811587">
      <w:pPr>
        <w:spacing w:after="240" w:line="276" w:lineRule="auto"/>
        <w:contextualSpacing/>
        <w:jc w:val="both"/>
        <w:rPr>
          <w:rFonts w:ascii="Times New Roman" w:hAnsi="Times New Roman"/>
          <w:bCs/>
          <w:lang w:val="es-CO"/>
        </w:rPr>
      </w:pPr>
    </w:p>
    <w:p w14:paraId="4BFB0412" w14:textId="77D8041F" w:rsidR="00476E03" w:rsidRDefault="00476E03" w:rsidP="00811587">
      <w:pPr>
        <w:spacing w:after="240" w:line="276" w:lineRule="auto"/>
        <w:contextualSpacing/>
        <w:jc w:val="both"/>
        <w:rPr>
          <w:rFonts w:ascii="Times New Roman" w:hAnsi="Times New Roman"/>
          <w:bCs/>
          <w:lang w:val="es-CO"/>
        </w:rPr>
      </w:pPr>
    </w:p>
    <w:p w14:paraId="35231472" w14:textId="1DD42492" w:rsidR="00476E03" w:rsidRDefault="00476E03" w:rsidP="00811587">
      <w:pPr>
        <w:spacing w:after="240" w:line="276" w:lineRule="auto"/>
        <w:contextualSpacing/>
        <w:jc w:val="both"/>
        <w:rPr>
          <w:rFonts w:ascii="Times New Roman" w:hAnsi="Times New Roman"/>
          <w:bCs/>
          <w:lang w:val="es-CO"/>
        </w:rPr>
      </w:pPr>
    </w:p>
    <w:p w14:paraId="6E8BAFA1" w14:textId="7FDDB556" w:rsidR="00476E03" w:rsidRDefault="00476E03" w:rsidP="00811587">
      <w:pPr>
        <w:spacing w:after="240" w:line="276" w:lineRule="auto"/>
        <w:contextualSpacing/>
        <w:jc w:val="both"/>
        <w:rPr>
          <w:rFonts w:ascii="Times New Roman" w:hAnsi="Times New Roman"/>
          <w:bCs/>
          <w:lang w:val="es-CO"/>
        </w:rPr>
      </w:pPr>
    </w:p>
    <w:p w14:paraId="279F345B" w14:textId="21A85549" w:rsidR="00476E03" w:rsidRPr="00811587" w:rsidRDefault="00476E03" w:rsidP="00811587">
      <w:pPr>
        <w:spacing w:after="240" w:line="276" w:lineRule="auto"/>
        <w:contextualSpacing/>
        <w:jc w:val="both"/>
        <w:rPr>
          <w:rFonts w:ascii="Times New Roman" w:hAnsi="Times New Roman"/>
          <w:bCs/>
          <w:lang w:val="es-CO"/>
        </w:rPr>
      </w:pPr>
    </w:p>
    <w:p w14:paraId="223296C2" w14:textId="77777777" w:rsidR="005C6F2B" w:rsidRPr="005C6F2B" w:rsidRDefault="005C6F2B" w:rsidP="005C6F2B">
      <w:pPr>
        <w:pStyle w:val="Prrafodelista"/>
        <w:numPr>
          <w:ilvl w:val="0"/>
          <w:numId w:val="10"/>
        </w:numPr>
        <w:spacing w:after="240" w:line="276" w:lineRule="auto"/>
        <w:contextualSpacing/>
        <w:jc w:val="both"/>
        <w:rPr>
          <w:rFonts w:ascii="Times New Roman" w:hAnsi="Times New Roman"/>
          <w:b/>
        </w:rPr>
      </w:pPr>
      <w:r w:rsidRPr="005C6F2B">
        <w:rPr>
          <w:rFonts w:ascii="Times New Roman" w:hAnsi="Times New Roman"/>
          <w:b/>
        </w:rPr>
        <w:lastRenderedPageBreak/>
        <w:t>ANTECEDENTES NORMATIVOS</w:t>
      </w:r>
    </w:p>
    <w:p w14:paraId="09CE5065" w14:textId="77777777" w:rsidR="005C6F2B" w:rsidRPr="005C6F2B" w:rsidRDefault="005C6F2B" w:rsidP="005C6F2B">
      <w:pPr>
        <w:spacing w:after="240" w:line="276" w:lineRule="auto"/>
        <w:jc w:val="both"/>
        <w:rPr>
          <w:rFonts w:ascii="Times New Roman" w:hAnsi="Times New Roman"/>
        </w:rPr>
      </w:pPr>
      <w:r w:rsidRPr="005C6F2B">
        <w:rPr>
          <w:rFonts w:ascii="Times New Roman" w:hAnsi="Times New Roman"/>
          <w:b/>
        </w:rPr>
        <w:t>Acuerdo 927 de 2024</w:t>
      </w:r>
      <w:r w:rsidRPr="005C6F2B">
        <w:rPr>
          <w:rFonts w:ascii="Times New Roman" w:hAnsi="Times New Roman"/>
        </w:rPr>
        <w:t xml:space="preserve"> “</w:t>
      </w:r>
      <w:r w:rsidRPr="005C6F2B">
        <w:rPr>
          <w:rFonts w:ascii="Times New Roman" w:hAnsi="Times New Roman"/>
          <w:i/>
        </w:rPr>
        <w:t>Por medio del cual se adopta el Plan de Desarrollo Económico, Social, Ambiental y de Obras Públicas del Distrito Capital 2024-2027 “Bogotá Camina Segura”</w:t>
      </w:r>
      <w:r w:rsidRPr="005C6F2B">
        <w:rPr>
          <w:rFonts w:ascii="Times New Roman" w:hAnsi="Times New Roman"/>
        </w:rPr>
        <w:t>”</w:t>
      </w:r>
    </w:p>
    <w:p w14:paraId="4AEEE3D8" w14:textId="77777777" w:rsidR="005C6F2B" w:rsidRPr="005C6F2B" w:rsidRDefault="005C6F2B" w:rsidP="005C6F2B">
      <w:pPr>
        <w:spacing w:after="240" w:line="276" w:lineRule="auto"/>
        <w:ind w:firstLine="720"/>
        <w:jc w:val="both"/>
        <w:rPr>
          <w:rFonts w:ascii="Times New Roman" w:hAnsi="Times New Roman"/>
        </w:rPr>
      </w:pPr>
      <w:r w:rsidRPr="005C6F2B">
        <w:rPr>
          <w:rFonts w:ascii="Times New Roman" w:hAnsi="Times New Roman"/>
          <w:b/>
        </w:rPr>
        <w:t>Artículo 11.</w:t>
      </w:r>
      <w:r w:rsidRPr="005C6F2B">
        <w:rPr>
          <w:rFonts w:ascii="Times New Roman" w:hAnsi="Times New Roman"/>
        </w:rPr>
        <w:t xml:space="preserve"> Propósito y estrategias del objetivo estratégico “Bogotá confía en su potencial”.</w:t>
      </w:r>
    </w:p>
    <w:p w14:paraId="49A7B54D" w14:textId="77777777" w:rsidR="005C6F2B" w:rsidRPr="005C6F2B" w:rsidRDefault="005C6F2B" w:rsidP="005C6F2B">
      <w:pPr>
        <w:spacing w:after="240" w:line="276" w:lineRule="auto"/>
        <w:ind w:left="1440"/>
        <w:jc w:val="both"/>
        <w:rPr>
          <w:rFonts w:ascii="Times New Roman" w:hAnsi="Times New Roman"/>
        </w:rPr>
      </w:pPr>
      <w:r w:rsidRPr="005C6F2B">
        <w:rPr>
          <w:rFonts w:ascii="Times New Roman" w:hAnsi="Times New Roman"/>
        </w:rPr>
        <w:t>iii) Una Bogotá que reduzca el desempleo y fortalezca los emprendimientos productivos, donde se mejore la densidad empresarial -empresas por cada mil habitantes- y se diversifique el tejido empresarial de la ciudad;</w:t>
      </w:r>
    </w:p>
    <w:p w14:paraId="41E33106"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b/>
        </w:rPr>
        <w:t>Artículo 12.4. </w:t>
      </w:r>
      <w:r w:rsidRPr="0040582E">
        <w:rPr>
          <w:rFonts w:ascii="Times New Roman" w:hAnsi="Times New Roman"/>
          <w:b/>
          <w:bCs/>
        </w:rPr>
        <w:t>Programa 19. Desarrollo empresarial, productividad y empleo</w:t>
      </w:r>
      <w:r w:rsidRPr="005C6F2B">
        <w:rPr>
          <w:rFonts w:ascii="Times New Roman" w:hAnsi="Times New Roman"/>
        </w:rPr>
        <w:t xml:space="preserve">. El programa parte de la necesidad que tiene Bogotá de posicionarse como un destino atractivo para la inversión extranjera, la creación y potencialización de empresas innovadoras, la realización de grandes eventos, realizar aprovechamiento económico racional del espacio público y la atracción de turistas. Para ello, este programa fortalecerá el tejido empresarial de Bogotá mediante estrategias que promuevan mejoras en la productividad de las empresas a través de la innovación, la participación en mercados internacionales y </w:t>
      </w:r>
      <w:r w:rsidRPr="005C6F2B">
        <w:rPr>
          <w:rFonts w:ascii="Times New Roman" w:hAnsi="Times New Roman"/>
          <w:b/>
        </w:rPr>
        <w:t>el posicionamiento de la ciudad como destino de inversión extranjera directa</w:t>
      </w:r>
      <w:r w:rsidRPr="005C6F2B">
        <w:rPr>
          <w:rFonts w:ascii="Times New Roman" w:hAnsi="Times New Roman"/>
        </w:rPr>
        <w:t xml:space="preserve"> y epicentro de eventos de ciudad con alcance internacional.</w:t>
      </w:r>
    </w:p>
    <w:p w14:paraId="43DC9C28"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rPr>
        <w:t xml:space="preserve">Adicionalmente, se desarrollarán acciones mediante las cuales emprendimientos de la economía social, las micro, pequeñas, medianas y grandes empresas podrán recibir </w:t>
      </w:r>
      <w:r w:rsidRPr="005C6F2B">
        <w:rPr>
          <w:rFonts w:ascii="Times New Roman" w:hAnsi="Times New Roman"/>
          <w:b/>
        </w:rPr>
        <w:t>asistencia técnica y financiera para su fortalecimiento</w:t>
      </w:r>
      <w:r w:rsidRPr="005C6F2B">
        <w:rPr>
          <w:rFonts w:ascii="Times New Roman" w:hAnsi="Times New Roman"/>
        </w:rPr>
        <w:t>, con el fin de que se potencialicen sectores económicos en los que viene creciendo la ciudad. Tal es el caso de los servicios, el comercio y las industrias, agro, culturales y creativas, el deporte y el turismo.</w:t>
      </w:r>
    </w:p>
    <w:p w14:paraId="015F705E"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rPr>
        <w:t xml:space="preserve">En lo relacionado con las empresas, el programa buscará incentivar la innovación como un motor fundamental para lograr mayores niveles de productividad que les permita ser más sostenibles en el tiempo, generar empleo y ser más competitivas en mercados internacionales. Para lograr esto, se generará un proceso de fortalecimiento y financiación tanto para las empresas que buscan atender el mercado local como para </w:t>
      </w:r>
      <w:r w:rsidRPr="005C6F2B">
        <w:rPr>
          <w:rFonts w:ascii="Times New Roman" w:hAnsi="Times New Roman"/>
        </w:rPr>
        <w:lastRenderedPageBreak/>
        <w:t>aquellas que están listas para conquistar los mercados internacionales. Todas estas actividades requieren una institucionalidad fuerte, que sea capaz de fomentar el desarrollo del tejido empresarial de la ciudad, especialmente, posibilitando el acceso a financiación pertinente y económica.</w:t>
      </w:r>
    </w:p>
    <w:p w14:paraId="456684B7"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rPr>
        <w:t>Adicionalmente, el programa permitirá la creación de una línea de crédito con condiciones favorables que apoye a comerciantes afectados por retrasos de obras públicas. Dicho retraso será definido por un índice objetivo de la Secretaría de Desarrollo Económico. Esto con el propósito de alivianar las cargas públicas que son soportadas por las Mipymes y los micronegocios, y que se desbordan con los atrasos de las obras, lo cual impide que se desarrollen, sean productivas y que genere empleo en la ciudad.</w:t>
      </w:r>
    </w:p>
    <w:p w14:paraId="08FE2DA9"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b/>
        </w:rPr>
        <w:t xml:space="preserve">Artículo 12.5. </w:t>
      </w:r>
      <w:r w:rsidRPr="0040582E">
        <w:rPr>
          <w:rFonts w:ascii="Times New Roman" w:hAnsi="Times New Roman"/>
          <w:b/>
          <w:bCs/>
        </w:rPr>
        <w:t>Programa 20. Promoción del emprendimiento formal, equitativo e incluyente</w:t>
      </w:r>
      <w:r w:rsidRPr="005C6F2B">
        <w:rPr>
          <w:rFonts w:ascii="Times New Roman" w:hAnsi="Times New Roman"/>
        </w:rPr>
        <w:t>. El propósito del programa es garantizar la implementación de un Sistema Distrital de Apoyo al Emprendimiento, a través del cual se ofrecerán servicios de asistencia técnica, tecnológica y financiera para que las personas interesadas en emprender o que ya cuentan con una idea de negocio, la puedan materializar. Esto incluirá comerciantes informales con miras a llevarlos a la formalidad.</w:t>
      </w:r>
    </w:p>
    <w:p w14:paraId="1A2A6EC9"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rPr>
        <w:t>Para fomentar el emprendimiento se desarrollará una estrategia integral de fortalecimiento empresarial, para que los negocios locales accedan a servicios especializados de formación y acompañamiento al emprendimiento enfocado en los sectores económicos y la provisión de herramientas.</w:t>
      </w:r>
    </w:p>
    <w:p w14:paraId="68E8C5F2"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rPr>
        <w:t>Como parte de la inclusión y mecanismos financieros, se promoverán el acceso a financiamiento formal y/o la asignación de recursos no reembolsables. Los mecanismos de financiación podrán incluir financiación a la tasa de interés. Dichos instrumentos serán clave para cubrir necesidades de liquidez, capital de trabajo y modernización de los micronegocios y las micro, y pequeñas, medianas empresas, incluyendo aquellas afectadas por los retrasos en las obras públicas de la ciudad.</w:t>
      </w:r>
    </w:p>
    <w:p w14:paraId="44FEC635"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b/>
        </w:rPr>
        <w:t>Artículo 93.</w:t>
      </w:r>
      <w:r w:rsidRPr="005C6F2B">
        <w:rPr>
          <w:rFonts w:ascii="Times New Roman" w:hAnsi="Times New Roman"/>
        </w:rPr>
        <w:t xml:space="preserve"> Apoyo financiero al tejido productivo. La Administración Distrital, a través del Sector Desarrollo Económico desarrollará programas y estrategias para apoyar financieramente a los Micronegocios, Micro, pequeñas y medianas empresas domiciliada en Bogotá D.C., mediante la puesta en marcha de créditos con tasa compensada, la operación de líneas de crédito, la asignación de recursos no reembolsables, y, en general, la implementación de otros mecanismos alternativos de financiamiento. Para efectos de este artículo, el término Micronegocio significa una unidad económica conformada desde una (1) hasta nueve (9) personas ocupadas, que desarrolla una actividad productiva de bienes o servicios, con el objeto de obtener un ingreso, actuando en calidad de propietario o arrendatario de los medios de producción.</w:t>
      </w:r>
    </w:p>
    <w:p w14:paraId="7D06AB4D" w14:textId="77777777" w:rsidR="005C6F2B" w:rsidRPr="005C6F2B" w:rsidRDefault="005C6F2B" w:rsidP="005C6F2B">
      <w:pPr>
        <w:spacing w:after="240" w:line="276" w:lineRule="auto"/>
        <w:ind w:left="720"/>
        <w:jc w:val="both"/>
        <w:rPr>
          <w:rFonts w:ascii="Times New Roman" w:hAnsi="Times New Roman"/>
          <w:lang w:val="es-CO"/>
        </w:rPr>
      </w:pPr>
      <w:r w:rsidRPr="005C6F2B">
        <w:rPr>
          <w:rFonts w:ascii="Times New Roman" w:hAnsi="Times New Roman"/>
          <w:b/>
          <w:lang w:val="es-CO"/>
        </w:rPr>
        <w:t>Artículo 107.</w:t>
      </w:r>
      <w:r w:rsidRPr="005C6F2B">
        <w:rPr>
          <w:rFonts w:ascii="Times New Roman" w:hAnsi="Times New Roman"/>
          <w:lang w:val="es-CO"/>
        </w:rPr>
        <w:t xml:space="preserve"> Fomento de las micro, pequeñas y medianas empresas en el mercado financiero. Elaborar estrategias de enlace entre la Secretaría de Desarrollo Económico, la Cámara de Comercio, FINTECH, Microfinancieras de Bogotá para incentivar y fomentar la participación de las micro, pequeñas y medianas empresas en el mercado financiero como alternativa para acceder a nuevos mecanismos de financiación y a capacitaciones sobre el funcionamiento de los mercados de capitales y sus beneficios en términos de desarrollo y crecimiento económico.</w:t>
      </w:r>
    </w:p>
    <w:p w14:paraId="03E6B731" w14:textId="77777777" w:rsidR="005C6F2B" w:rsidRPr="005C6F2B" w:rsidRDefault="005C6F2B" w:rsidP="005C6F2B">
      <w:pPr>
        <w:spacing w:after="240" w:line="276" w:lineRule="auto"/>
        <w:ind w:left="720"/>
        <w:jc w:val="both"/>
        <w:rPr>
          <w:rFonts w:ascii="Times New Roman" w:hAnsi="Times New Roman"/>
          <w:lang w:val="es-CO"/>
        </w:rPr>
      </w:pPr>
      <w:r w:rsidRPr="005C6F2B">
        <w:rPr>
          <w:rFonts w:ascii="Times New Roman" w:hAnsi="Times New Roman"/>
          <w:b/>
          <w:lang w:val="es-CO"/>
        </w:rPr>
        <w:t>Artículo 110.</w:t>
      </w:r>
      <w:r w:rsidRPr="005C6F2B">
        <w:rPr>
          <w:rFonts w:ascii="Times New Roman" w:hAnsi="Times New Roman"/>
          <w:lang w:val="es-CO"/>
        </w:rPr>
        <w:t xml:space="preserve"> Alianzas para la inclusión financiera y combatir el "gota a gota" en micronegocios. El Sector de Desarrollo Económico podrá desarrollar y ejecutar programas para facilitar los microcréditos, como instrumento de creación, formalización, fortalecimiento, inclusión financiera y combatir el gota a gota de los micronegocios, con entidades sin ánimo de lucro, entidades vigiladas por la Superintendencia Financiera, por la Superintendencia de la Economía Solidaria y/o con Sociedades Comerciales que otorguen líneas de financiamiento o de microcrédito en desarrollo de su objeto social, dentro de los parámetros establecidos por la ley.</w:t>
      </w:r>
    </w:p>
    <w:p w14:paraId="450E7CFC" w14:textId="77777777" w:rsidR="005C6F2B" w:rsidRPr="005C6F2B" w:rsidRDefault="005C6F2B" w:rsidP="005C6F2B">
      <w:pPr>
        <w:spacing w:after="240" w:line="276" w:lineRule="auto"/>
        <w:ind w:left="720"/>
        <w:jc w:val="both"/>
        <w:rPr>
          <w:rFonts w:ascii="Times New Roman" w:hAnsi="Times New Roman"/>
          <w:lang w:val="es-CO"/>
        </w:rPr>
      </w:pPr>
      <w:r w:rsidRPr="005C6F2B">
        <w:rPr>
          <w:rFonts w:ascii="Times New Roman" w:hAnsi="Times New Roman"/>
          <w:lang w:val="es-CO"/>
        </w:rPr>
        <w:t>Para lograr los objetivos mencionados, el Sector de Desarrollo Económico con las entidades establecidas en el párrafo anterior, podrá suscribir convenios, acuerdos, alianzas o cualquier tipo de mutuo entendimiento, con o sin transferencia de recursos, para la ejecución de programas, planes y proyectos de microcréditos con microempresarios formales e informales en el Distrito Capital.</w:t>
      </w:r>
    </w:p>
    <w:p w14:paraId="57DDB380" w14:textId="77777777" w:rsidR="005C6F2B" w:rsidRPr="005C6F2B" w:rsidRDefault="005C6F2B" w:rsidP="005C6F2B">
      <w:pPr>
        <w:spacing w:after="240" w:line="276" w:lineRule="auto"/>
        <w:jc w:val="both"/>
        <w:rPr>
          <w:rFonts w:ascii="Times New Roman" w:hAnsi="Times New Roman"/>
        </w:rPr>
      </w:pPr>
      <w:r w:rsidRPr="005C6F2B">
        <w:rPr>
          <w:rFonts w:ascii="Times New Roman" w:hAnsi="Times New Roman"/>
          <w:b/>
        </w:rPr>
        <w:t>Acuerdo 850 de 2022.</w:t>
      </w:r>
      <w:r w:rsidRPr="005C6F2B">
        <w:rPr>
          <w:rFonts w:ascii="Times New Roman" w:hAnsi="Times New Roman"/>
        </w:rPr>
        <w:t xml:space="preserve"> “</w:t>
      </w:r>
      <w:r w:rsidRPr="005C6F2B">
        <w:rPr>
          <w:rFonts w:ascii="Times New Roman" w:hAnsi="Times New Roman"/>
          <w:i/>
        </w:rPr>
        <w:t>Por el cual se establecen lineamientos para el desarrollo de la estrategia distrital para la inclusión y educación económica y financiera, mitigar el impacto derivado del crédito informal bajo la modalidad del “gota a gota” y se dictan otras disposiciones</w:t>
      </w:r>
      <w:r w:rsidRPr="005C6F2B">
        <w:rPr>
          <w:rFonts w:ascii="Times New Roman" w:hAnsi="Times New Roman"/>
        </w:rPr>
        <w:t>”.</w:t>
      </w:r>
    </w:p>
    <w:p w14:paraId="6F3C1B2D"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b/>
        </w:rPr>
        <w:t>Artículo 4.</w:t>
      </w:r>
      <w:r w:rsidRPr="005C6F2B">
        <w:rPr>
          <w:rFonts w:ascii="Times New Roman" w:hAnsi="Times New Roman"/>
        </w:rPr>
        <w:t xml:space="preserve"> Lineamientos. Para efectos de la implementación del objeto del presente acuerdo, se tendrán en cuenta los siguientes lineamientos generales:</w:t>
      </w:r>
    </w:p>
    <w:p w14:paraId="6FEB79D7" w14:textId="77777777" w:rsidR="005C6F2B" w:rsidRPr="005C6F2B" w:rsidRDefault="005C6F2B" w:rsidP="005C6F2B">
      <w:pPr>
        <w:spacing w:after="240" w:line="276" w:lineRule="auto"/>
        <w:ind w:left="1440"/>
        <w:jc w:val="both"/>
        <w:rPr>
          <w:rFonts w:ascii="Times New Roman" w:hAnsi="Times New Roman"/>
        </w:rPr>
      </w:pPr>
      <w:r w:rsidRPr="005C6F2B">
        <w:rPr>
          <w:rFonts w:ascii="Times New Roman" w:hAnsi="Times New Roman"/>
        </w:rPr>
        <w:t>c. Desincentivar la informalidad del crédito a través de la promoción del acceso de personas naturales y jurídicas a más y mejores productos y servicios financieros.</w:t>
      </w:r>
    </w:p>
    <w:p w14:paraId="37AE2DE8" w14:textId="77777777" w:rsidR="005C6F2B" w:rsidRPr="005C6F2B" w:rsidRDefault="005C6F2B" w:rsidP="005C6F2B">
      <w:pPr>
        <w:spacing w:after="240" w:line="276" w:lineRule="auto"/>
        <w:ind w:left="1440"/>
        <w:jc w:val="both"/>
        <w:rPr>
          <w:rFonts w:ascii="Times New Roman" w:hAnsi="Times New Roman"/>
        </w:rPr>
      </w:pPr>
      <w:r w:rsidRPr="005C6F2B">
        <w:rPr>
          <w:rFonts w:ascii="Times New Roman" w:hAnsi="Times New Roman"/>
        </w:rPr>
        <w:t>e. Fomentar mayores competencias, conocimientos y capacidades económicas y financieras, con contenidos pertinentes, de calidad y diferenciados para la población en edad escolar, población en etapa activa, retiro y protección a la vejez, población vulnerable y microempresarios, mujeres, jóvenes, población rural y personas con discapacidad.</w:t>
      </w:r>
    </w:p>
    <w:p w14:paraId="3024006A" w14:textId="77777777" w:rsidR="005C6F2B" w:rsidRPr="005C6F2B" w:rsidRDefault="005C6F2B" w:rsidP="005C6F2B">
      <w:pPr>
        <w:spacing w:after="240" w:line="276" w:lineRule="auto"/>
        <w:ind w:left="1440"/>
        <w:jc w:val="both"/>
        <w:rPr>
          <w:rFonts w:ascii="Times New Roman" w:hAnsi="Times New Roman"/>
        </w:rPr>
      </w:pPr>
      <w:r w:rsidRPr="005C6F2B">
        <w:rPr>
          <w:rFonts w:ascii="Times New Roman" w:hAnsi="Times New Roman"/>
        </w:rPr>
        <w:t>h. Aumentar la inclusión financiera con capital semilla, para el fortalecimiento de las MiPymes y apoyo a emprendimientos familiares de oportunidad.</w:t>
      </w:r>
    </w:p>
    <w:p w14:paraId="7030A1E5" w14:textId="77777777" w:rsidR="005C6F2B" w:rsidRPr="005C6F2B" w:rsidRDefault="005C6F2B" w:rsidP="005C6F2B">
      <w:pPr>
        <w:spacing w:after="240" w:line="276" w:lineRule="auto"/>
        <w:ind w:left="1440"/>
        <w:jc w:val="both"/>
        <w:rPr>
          <w:rFonts w:ascii="Times New Roman" w:hAnsi="Times New Roman"/>
        </w:rPr>
      </w:pPr>
      <w:r w:rsidRPr="005C6F2B">
        <w:rPr>
          <w:rFonts w:ascii="Times New Roman" w:hAnsi="Times New Roman"/>
        </w:rPr>
        <w:t>i. Promover la realización de alianzas estratégicas para impulsar nuevos instrumentos de financiamiento novedosos como el financiamiento colectivo (</w:t>
      </w:r>
      <w:r w:rsidRPr="005C6F2B">
        <w:rPr>
          <w:rFonts w:ascii="Times New Roman" w:hAnsi="Times New Roman"/>
          <w:i/>
        </w:rPr>
        <w:t>Crowdfunding</w:t>
      </w:r>
      <w:r w:rsidRPr="005C6F2B">
        <w:rPr>
          <w:rFonts w:ascii="Times New Roman" w:hAnsi="Times New Roman"/>
        </w:rPr>
        <w:t>) y el financiamiento con facturas (</w:t>
      </w:r>
      <w:r w:rsidRPr="005C6F2B">
        <w:rPr>
          <w:rFonts w:ascii="Times New Roman" w:hAnsi="Times New Roman"/>
          <w:i/>
        </w:rPr>
        <w:t>factoring</w:t>
      </w:r>
      <w:r w:rsidRPr="005C6F2B">
        <w:rPr>
          <w:rFonts w:ascii="Times New Roman" w:hAnsi="Times New Roman"/>
        </w:rPr>
        <w:t>).</w:t>
      </w:r>
    </w:p>
    <w:p w14:paraId="14BFC1A9" w14:textId="77777777" w:rsidR="005C6F2B" w:rsidRPr="005C6F2B" w:rsidRDefault="005C6F2B" w:rsidP="005C6F2B">
      <w:pPr>
        <w:spacing w:after="240" w:line="276" w:lineRule="auto"/>
        <w:jc w:val="both"/>
        <w:rPr>
          <w:rFonts w:ascii="Times New Roman" w:hAnsi="Times New Roman"/>
        </w:rPr>
      </w:pPr>
      <w:r w:rsidRPr="005C6F2B">
        <w:rPr>
          <w:rFonts w:ascii="Times New Roman" w:hAnsi="Times New Roman"/>
          <w:b/>
        </w:rPr>
        <w:t>Acuerdo 1010 de 2025.</w:t>
      </w:r>
      <w:r w:rsidRPr="005C6F2B">
        <w:rPr>
          <w:rFonts w:ascii="Times New Roman" w:hAnsi="Times New Roman"/>
        </w:rPr>
        <w:t xml:space="preserve"> “</w:t>
      </w:r>
      <w:r w:rsidRPr="005C6F2B">
        <w:rPr>
          <w:rFonts w:ascii="Times New Roman" w:hAnsi="Times New Roman"/>
          <w:i/>
        </w:rPr>
        <w:t>Por el cual se establecen los lineamientos para el fomento de programas de capacitación modular virtual y transformación digital de emprendimientos, MiPymes y Startups en Bogotá</w:t>
      </w:r>
      <w:r w:rsidRPr="005C6F2B">
        <w:rPr>
          <w:rFonts w:ascii="Times New Roman" w:hAnsi="Times New Roman"/>
        </w:rPr>
        <w:t>”.</w:t>
      </w:r>
    </w:p>
    <w:p w14:paraId="1B75206D"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b/>
        </w:rPr>
        <w:t>Artículo 2.</w:t>
      </w:r>
      <w:r w:rsidRPr="005C6F2B">
        <w:rPr>
          <w:rFonts w:ascii="Times New Roman" w:hAnsi="Times New Roman"/>
        </w:rPr>
        <w:t xml:space="preserve"> La Administración Distrital fortalecerá los lineamientos y contenidos en módulos virtuales, así como los fundamentos teórico-prácticos para el fortalecimiento de las habilidades emprendedoras, logrando la transformación digital de MiPymes y la creación de STARTUPS.</w:t>
      </w:r>
    </w:p>
    <w:p w14:paraId="7769B9A1" w14:textId="77777777" w:rsidR="005C6F2B" w:rsidRPr="005C6F2B" w:rsidRDefault="005C6F2B" w:rsidP="005C6F2B">
      <w:pPr>
        <w:spacing w:after="240" w:line="276" w:lineRule="auto"/>
        <w:jc w:val="both"/>
        <w:rPr>
          <w:rFonts w:ascii="Times New Roman" w:hAnsi="Times New Roman"/>
        </w:rPr>
      </w:pPr>
      <w:r w:rsidRPr="005C6F2B">
        <w:rPr>
          <w:rFonts w:ascii="Times New Roman" w:hAnsi="Times New Roman"/>
          <w:b/>
        </w:rPr>
        <w:t>Acuerdo 995 de 2025.</w:t>
      </w:r>
      <w:r w:rsidRPr="005C6F2B">
        <w:rPr>
          <w:rFonts w:ascii="Times New Roman" w:hAnsi="Times New Roman"/>
        </w:rPr>
        <w:t xml:space="preserve"> “</w:t>
      </w:r>
      <w:r w:rsidRPr="005C6F2B">
        <w:rPr>
          <w:rFonts w:ascii="Times New Roman" w:hAnsi="Times New Roman"/>
          <w:i/>
        </w:rPr>
        <w:t>Por medio del cual se establecen lineamientos para el fortalecimiento de competencias digitales y emprendimiento para población mayor de 50 años en Bogotá D.C.</w:t>
      </w:r>
      <w:r w:rsidRPr="005C6F2B">
        <w:rPr>
          <w:rFonts w:ascii="Times New Roman" w:hAnsi="Times New Roman"/>
        </w:rPr>
        <w:t>”</w:t>
      </w:r>
    </w:p>
    <w:p w14:paraId="2E0352FF"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b/>
        </w:rPr>
        <w:t>Artículo 3.</w:t>
      </w:r>
      <w:r w:rsidRPr="005C6F2B">
        <w:rPr>
          <w:rFonts w:ascii="Times New Roman" w:hAnsi="Times New Roman"/>
        </w:rPr>
        <w:t xml:space="preserve"> COMPETENCIA Y LINEAMIENTOS. La Administración Distrital, a través de las entidades competentes, propenderá por implementar el presente Acuerdo bajo los siguientes lineamientos:</w:t>
      </w:r>
    </w:p>
    <w:p w14:paraId="5093BDB4" w14:textId="77777777" w:rsidR="00AB235B" w:rsidRPr="005C6F2B" w:rsidRDefault="005C6F2B" w:rsidP="00811587">
      <w:pPr>
        <w:spacing w:after="240" w:line="276" w:lineRule="auto"/>
        <w:ind w:left="720"/>
        <w:jc w:val="both"/>
        <w:rPr>
          <w:rFonts w:ascii="Times New Roman" w:hAnsi="Times New Roman"/>
        </w:rPr>
      </w:pPr>
      <w:r w:rsidRPr="005C6F2B">
        <w:rPr>
          <w:rFonts w:ascii="Times New Roman" w:hAnsi="Times New Roman"/>
        </w:rPr>
        <w:t>3.  Promoción del emprendimiento. Fomentar el emprendimiento para la población mayor de 50 años a través de asesoría técnica, capacitación en gestión tecnológica, herramientas y recursos de emprendimiento, con el fin de fomentar la creación de Micro, pequeñas y medianas empresas (MiPyME) o iniciativas empresariales en el ámbito digital.</w:t>
      </w:r>
    </w:p>
    <w:p w14:paraId="4EE17DA7" w14:textId="77777777" w:rsidR="005C6F2B" w:rsidRPr="005C6F2B" w:rsidRDefault="005C6F2B" w:rsidP="005C6F2B">
      <w:pPr>
        <w:pStyle w:val="Prrafodelista"/>
        <w:numPr>
          <w:ilvl w:val="0"/>
          <w:numId w:val="10"/>
        </w:numPr>
        <w:spacing w:after="240" w:line="276" w:lineRule="auto"/>
        <w:jc w:val="both"/>
        <w:rPr>
          <w:rFonts w:ascii="Times New Roman" w:hAnsi="Times New Roman"/>
          <w:b/>
          <w:bCs/>
        </w:rPr>
      </w:pPr>
      <w:r w:rsidRPr="005C6F2B">
        <w:rPr>
          <w:rFonts w:ascii="Times New Roman" w:hAnsi="Times New Roman"/>
          <w:b/>
          <w:bCs/>
        </w:rPr>
        <w:t>JUSTIFICACIÓN DE LA INICIATIVA:</w:t>
      </w:r>
    </w:p>
    <w:p w14:paraId="3B9E52A6" w14:textId="1F69DC18"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 xml:space="preserve">Los emprendedores y empresarios </w:t>
      </w:r>
      <w:r w:rsidR="00400E51">
        <w:rPr>
          <w:rFonts w:ascii="Times New Roman" w:hAnsi="Times New Roman"/>
          <w:bCs/>
        </w:rPr>
        <w:t>de Bogotá y su área metropolitana</w:t>
      </w:r>
      <w:r w:rsidR="0040582E">
        <w:rPr>
          <w:rFonts w:ascii="Times New Roman" w:hAnsi="Times New Roman"/>
          <w:bCs/>
        </w:rPr>
        <w:t>,</w:t>
      </w:r>
      <w:r w:rsidRPr="005C6F2B">
        <w:rPr>
          <w:rFonts w:ascii="Times New Roman" w:hAnsi="Times New Roman"/>
          <w:bCs/>
        </w:rPr>
        <w:t xml:space="preserve"> que buscan crear y hacer crecer sus compañías</w:t>
      </w:r>
      <w:r w:rsidR="0040582E">
        <w:rPr>
          <w:rFonts w:ascii="Times New Roman" w:hAnsi="Times New Roman"/>
          <w:bCs/>
        </w:rPr>
        <w:t>,</w:t>
      </w:r>
      <w:r w:rsidRPr="005C6F2B">
        <w:rPr>
          <w:rFonts w:ascii="Times New Roman" w:hAnsi="Times New Roman"/>
          <w:bCs/>
        </w:rPr>
        <w:t xml:space="preserve"> enfrentan desafíos</w:t>
      </w:r>
      <w:r>
        <w:rPr>
          <w:rFonts w:ascii="Times New Roman" w:hAnsi="Times New Roman"/>
          <w:bCs/>
        </w:rPr>
        <w:t xml:space="preserve"> </w:t>
      </w:r>
      <w:r w:rsidR="00CB638E">
        <w:rPr>
          <w:rFonts w:ascii="Times New Roman" w:hAnsi="Times New Roman"/>
          <w:bCs/>
        </w:rPr>
        <w:t xml:space="preserve">significativos </w:t>
      </w:r>
      <w:r>
        <w:rPr>
          <w:rFonts w:ascii="Times New Roman" w:hAnsi="Times New Roman"/>
          <w:bCs/>
        </w:rPr>
        <w:t>en la actualidad, pasando por</w:t>
      </w:r>
      <w:r w:rsidR="00B87D9F">
        <w:rPr>
          <w:rFonts w:ascii="Times New Roman" w:hAnsi="Times New Roman"/>
          <w:bCs/>
        </w:rPr>
        <w:t xml:space="preserve"> barreras de entrada</w:t>
      </w:r>
      <w:r w:rsidR="00CB638E">
        <w:rPr>
          <w:rFonts w:ascii="Times New Roman" w:hAnsi="Times New Roman"/>
          <w:bCs/>
        </w:rPr>
        <w:t xml:space="preserve"> a los mercados</w:t>
      </w:r>
      <w:r w:rsidR="00B87D9F">
        <w:rPr>
          <w:rFonts w:ascii="Times New Roman" w:hAnsi="Times New Roman"/>
          <w:bCs/>
        </w:rPr>
        <w:t>, constantes cambios regulatorios, ilegalidad</w:t>
      </w:r>
      <w:r w:rsidR="00CB638E">
        <w:rPr>
          <w:rFonts w:ascii="Times New Roman" w:hAnsi="Times New Roman"/>
          <w:bCs/>
        </w:rPr>
        <w:t xml:space="preserve">, </w:t>
      </w:r>
      <w:r w:rsidR="00B87D9F">
        <w:rPr>
          <w:rFonts w:ascii="Times New Roman" w:hAnsi="Times New Roman"/>
          <w:bCs/>
        </w:rPr>
        <w:t xml:space="preserve">presiones tributarias y falta de </w:t>
      </w:r>
      <w:r w:rsidR="00CB638E">
        <w:rPr>
          <w:rFonts w:ascii="Times New Roman" w:hAnsi="Times New Roman"/>
          <w:bCs/>
        </w:rPr>
        <w:t xml:space="preserve">fuentes de </w:t>
      </w:r>
      <w:r w:rsidR="00B87D9F">
        <w:rPr>
          <w:rFonts w:ascii="Times New Roman" w:hAnsi="Times New Roman"/>
          <w:bCs/>
        </w:rPr>
        <w:t>financiación</w:t>
      </w:r>
      <w:r w:rsidRPr="005C6F2B">
        <w:rPr>
          <w:rFonts w:ascii="Times New Roman" w:hAnsi="Times New Roman"/>
          <w:bCs/>
        </w:rPr>
        <w:t>. Esto se ve reflejado en la tasa de supervivencia de las empresas durante sus primeros 5 años de vida donde tan solo el 33% de las microempresas sobreviven, tendencia que crece según mayor tamaño: 61% para empresas pequeñas, 74% para empresas medianas y 86% para grandes empresas</w:t>
      </w:r>
      <w:r w:rsidR="00AB235B">
        <w:rPr>
          <w:rStyle w:val="Refdenotaalpie"/>
          <w:rFonts w:ascii="Times New Roman" w:hAnsi="Times New Roman"/>
          <w:bCs/>
        </w:rPr>
        <w:footnoteReference w:id="1"/>
      </w:r>
      <w:r>
        <w:rPr>
          <w:rFonts w:ascii="Times New Roman" w:hAnsi="Times New Roman"/>
          <w:bCs/>
        </w:rPr>
        <w:t xml:space="preserve">, </w:t>
      </w:r>
      <w:r w:rsidR="00CB638E">
        <w:rPr>
          <w:rFonts w:ascii="Times New Roman" w:hAnsi="Times New Roman"/>
          <w:bCs/>
        </w:rPr>
        <w:t>reflejando</w:t>
      </w:r>
      <w:r>
        <w:rPr>
          <w:rFonts w:ascii="Times New Roman" w:hAnsi="Times New Roman"/>
          <w:bCs/>
        </w:rPr>
        <w:t xml:space="preserve"> la importancia de constituir sociedades</w:t>
      </w:r>
      <w:r w:rsidR="0040582E">
        <w:rPr>
          <w:rFonts w:ascii="Times New Roman" w:hAnsi="Times New Roman"/>
          <w:bCs/>
        </w:rPr>
        <w:t xml:space="preserve"> y</w:t>
      </w:r>
      <w:r>
        <w:rPr>
          <w:rFonts w:ascii="Times New Roman" w:hAnsi="Times New Roman"/>
          <w:bCs/>
        </w:rPr>
        <w:t xml:space="preserve"> </w:t>
      </w:r>
      <w:r w:rsidR="00CB638E">
        <w:rPr>
          <w:rFonts w:ascii="Times New Roman" w:hAnsi="Times New Roman"/>
          <w:bCs/>
        </w:rPr>
        <w:t xml:space="preserve">compañías </w:t>
      </w:r>
      <w:r>
        <w:rPr>
          <w:rFonts w:ascii="Times New Roman" w:hAnsi="Times New Roman"/>
          <w:bCs/>
        </w:rPr>
        <w:t>más grandes y desarrolladas para aumentar su probabilidad de éxito</w:t>
      </w:r>
      <w:r w:rsidR="008D2881">
        <w:rPr>
          <w:rFonts w:ascii="Times New Roman" w:hAnsi="Times New Roman"/>
          <w:bCs/>
        </w:rPr>
        <w:t>.</w:t>
      </w:r>
    </w:p>
    <w:p w14:paraId="6C8F53A5" w14:textId="77777777" w:rsidR="00CB638E" w:rsidRDefault="00286912" w:rsidP="005C6F2B">
      <w:pPr>
        <w:spacing w:after="240" w:line="276" w:lineRule="auto"/>
        <w:jc w:val="both"/>
        <w:rPr>
          <w:rFonts w:ascii="Times New Roman" w:hAnsi="Times New Roman"/>
          <w:bCs/>
        </w:rPr>
      </w:pPr>
      <w:r>
        <w:rPr>
          <w:rFonts w:ascii="Times New Roman" w:hAnsi="Times New Roman"/>
          <w:bCs/>
        </w:rPr>
        <w:t>E</w:t>
      </w:r>
      <w:r w:rsidRPr="005C6F2B">
        <w:rPr>
          <w:rFonts w:ascii="Times New Roman" w:hAnsi="Times New Roman"/>
          <w:bCs/>
        </w:rPr>
        <w:t>l Consejo Privado de Competitividad</w:t>
      </w:r>
      <w:r w:rsidR="00CB638E">
        <w:rPr>
          <w:rFonts w:ascii="Times New Roman" w:hAnsi="Times New Roman"/>
          <w:bCs/>
        </w:rPr>
        <w:t xml:space="preserve"> ha resaltado</w:t>
      </w:r>
      <w:r w:rsidRPr="005C6F2B">
        <w:rPr>
          <w:rFonts w:ascii="Times New Roman" w:hAnsi="Times New Roman"/>
          <w:bCs/>
        </w:rPr>
        <w:t xml:space="preserve"> </w:t>
      </w:r>
      <w:r w:rsidR="00CB638E">
        <w:rPr>
          <w:rFonts w:ascii="Times New Roman" w:hAnsi="Times New Roman"/>
          <w:bCs/>
        </w:rPr>
        <w:t xml:space="preserve">que </w:t>
      </w:r>
      <w:r w:rsidRPr="005C6F2B">
        <w:rPr>
          <w:rFonts w:ascii="Times New Roman" w:hAnsi="Times New Roman"/>
          <w:bCs/>
        </w:rPr>
        <w:t>“el desarrollo empresarial es fuente de creación de empleo, innovación y competitividad de la economía a nivel nacional y en todos sus niveles de desagregación”</w:t>
      </w:r>
      <w:r>
        <w:rPr>
          <w:rStyle w:val="Refdenotaalpie"/>
          <w:rFonts w:ascii="Times New Roman" w:hAnsi="Times New Roman"/>
          <w:bCs/>
        </w:rPr>
        <w:footnoteReference w:id="2"/>
      </w:r>
      <w:r w:rsidR="00CB638E">
        <w:rPr>
          <w:rFonts w:ascii="Times New Roman" w:hAnsi="Times New Roman"/>
          <w:bCs/>
        </w:rPr>
        <w:t xml:space="preserve"> donde Bogotá tiene un papel fundamental al ser el centro político, económico y financiero del país</w:t>
      </w:r>
      <w:r w:rsidRPr="005C6F2B">
        <w:rPr>
          <w:rFonts w:ascii="Times New Roman" w:hAnsi="Times New Roman"/>
          <w:bCs/>
        </w:rPr>
        <w:t>.</w:t>
      </w:r>
    </w:p>
    <w:p w14:paraId="43D5821F" w14:textId="49B8B23D"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S</w:t>
      </w:r>
      <w:r w:rsidR="00286912">
        <w:rPr>
          <w:rFonts w:ascii="Times New Roman" w:hAnsi="Times New Roman"/>
          <w:bCs/>
        </w:rPr>
        <w:t>in embargo, s</w:t>
      </w:r>
      <w:r w:rsidRPr="005C6F2B">
        <w:rPr>
          <w:rFonts w:ascii="Times New Roman" w:hAnsi="Times New Roman"/>
          <w:bCs/>
        </w:rPr>
        <w:t xml:space="preserve">egún un estudio realizado por la Confederación Nacional de Cámaras de Comercio </w:t>
      </w:r>
      <w:r w:rsidR="00574EEF">
        <w:rPr>
          <w:rFonts w:ascii="Times New Roman" w:hAnsi="Times New Roman"/>
          <w:bCs/>
        </w:rPr>
        <w:t>(CONFECÁMARAS)</w:t>
      </w:r>
      <w:r w:rsidR="00AB235B" w:rsidRPr="00AB235B">
        <w:rPr>
          <w:rFonts w:ascii="Times New Roman" w:hAnsi="Times New Roman"/>
          <w:bCs/>
        </w:rPr>
        <w:t xml:space="preserve">, el principal factor del fracaso empresarial es el </w:t>
      </w:r>
      <w:r w:rsidR="00AB235B" w:rsidRPr="00CB638E">
        <w:rPr>
          <w:rFonts w:ascii="Times New Roman" w:hAnsi="Times New Roman"/>
          <w:b/>
        </w:rPr>
        <w:t>difícil acceso a fuentes formales de financiación</w:t>
      </w:r>
      <w:r w:rsidR="00AB235B" w:rsidRPr="00AB235B">
        <w:rPr>
          <w:rFonts w:ascii="Times New Roman" w:hAnsi="Times New Roman"/>
          <w:bCs/>
        </w:rPr>
        <w:t xml:space="preserve">, para lo cual </w:t>
      </w:r>
      <w:r w:rsidR="00CB638E">
        <w:rPr>
          <w:rFonts w:ascii="Times New Roman" w:hAnsi="Times New Roman"/>
          <w:bCs/>
        </w:rPr>
        <w:t xml:space="preserve">recomienda </w:t>
      </w:r>
      <w:r w:rsidR="00AB235B" w:rsidRPr="00AB235B">
        <w:rPr>
          <w:rFonts w:ascii="Times New Roman" w:hAnsi="Times New Roman"/>
          <w:bCs/>
        </w:rPr>
        <w:t>fortalecer las políticas públicas</w:t>
      </w:r>
      <w:r w:rsidR="00CB638E">
        <w:rPr>
          <w:rFonts w:ascii="Times New Roman" w:hAnsi="Times New Roman"/>
          <w:bCs/>
        </w:rPr>
        <w:t xml:space="preserve"> y los marcos normativos que rigen</w:t>
      </w:r>
      <w:r w:rsidR="00AB235B" w:rsidRPr="00AB235B">
        <w:rPr>
          <w:rFonts w:ascii="Times New Roman" w:hAnsi="Times New Roman"/>
          <w:bCs/>
        </w:rPr>
        <w:t xml:space="preserve"> en este ámbito</w:t>
      </w:r>
      <w:r w:rsidR="00C8470C">
        <w:rPr>
          <w:rStyle w:val="Refdenotaalpie"/>
          <w:rFonts w:ascii="Times New Roman" w:hAnsi="Times New Roman"/>
          <w:bCs/>
        </w:rPr>
        <w:footnoteReference w:id="3"/>
      </w:r>
      <w:r w:rsidR="00AB235B">
        <w:rPr>
          <w:rStyle w:val="Refdenotaalpie"/>
          <w:rFonts w:ascii="Times New Roman" w:hAnsi="Times New Roman"/>
          <w:bCs/>
          <w:vertAlign w:val="baseline"/>
        </w:rPr>
        <w:t>.</w:t>
      </w:r>
    </w:p>
    <w:p w14:paraId="70EDB49A" w14:textId="3DC2E08A" w:rsidR="00400E51" w:rsidRDefault="00400E51" w:rsidP="00400E51">
      <w:pPr>
        <w:spacing w:line="276" w:lineRule="auto"/>
        <w:jc w:val="both"/>
        <w:rPr>
          <w:rFonts w:ascii="Times New Roman" w:hAnsi="Times New Roman"/>
          <w:bCs/>
        </w:rPr>
      </w:pPr>
      <w:r w:rsidRPr="00400E51">
        <w:rPr>
          <w:rFonts w:ascii="Times New Roman" w:hAnsi="Times New Roman"/>
          <w:bCs/>
        </w:rPr>
        <w:t xml:space="preserve">Por </w:t>
      </w:r>
      <w:r w:rsidR="00CB638E">
        <w:rPr>
          <w:rFonts w:ascii="Times New Roman" w:hAnsi="Times New Roman"/>
          <w:bCs/>
        </w:rPr>
        <w:t>ende</w:t>
      </w:r>
      <w:r w:rsidRPr="00400E51">
        <w:rPr>
          <w:rFonts w:ascii="Times New Roman" w:hAnsi="Times New Roman"/>
          <w:bCs/>
        </w:rPr>
        <w:t xml:space="preserve">, </w:t>
      </w:r>
      <w:r w:rsidR="00CB638E">
        <w:rPr>
          <w:rFonts w:ascii="Times New Roman" w:hAnsi="Times New Roman"/>
          <w:bCs/>
        </w:rPr>
        <w:t>se hace evidente</w:t>
      </w:r>
      <w:r w:rsidRPr="00400E51">
        <w:rPr>
          <w:rFonts w:ascii="Times New Roman" w:hAnsi="Times New Roman"/>
          <w:bCs/>
        </w:rPr>
        <w:t xml:space="preserve"> la relación </w:t>
      </w:r>
      <w:r w:rsidR="007E30ED">
        <w:rPr>
          <w:rFonts w:ascii="Times New Roman" w:hAnsi="Times New Roman"/>
          <w:bCs/>
        </w:rPr>
        <w:t xml:space="preserve">existente </w:t>
      </w:r>
      <w:r w:rsidRPr="00400E51">
        <w:rPr>
          <w:rFonts w:ascii="Times New Roman" w:hAnsi="Times New Roman"/>
          <w:bCs/>
        </w:rPr>
        <w:t>ent</w:t>
      </w:r>
      <w:r w:rsidR="00A3026D">
        <w:rPr>
          <w:rFonts w:ascii="Times New Roman" w:hAnsi="Times New Roman"/>
          <w:bCs/>
        </w:rPr>
        <w:t>re</w:t>
      </w:r>
      <w:r w:rsidRPr="00400E51">
        <w:rPr>
          <w:rFonts w:ascii="Times New Roman" w:hAnsi="Times New Roman"/>
          <w:bCs/>
        </w:rPr>
        <w:t xml:space="preserve"> el </w:t>
      </w:r>
      <w:r w:rsidR="00CB638E">
        <w:rPr>
          <w:rFonts w:ascii="Times New Roman" w:hAnsi="Times New Roman"/>
          <w:bCs/>
        </w:rPr>
        <w:t xml:space="preserve">crecimiento </w:t>
      </w:r>
      <w:r w:rsidRPr="00400E51">
        <w:rPr>
          <w:rFonts w:ascii="Times New Roman" w:hAnsi="Times New Roman"/>
          <w:bCs/>
        </w:rPr>
        <w:t>empresarial</w:t>
      </w:r>
      <w:r w:rsidR="00A3026D">
        <w:rPr>
          <w:rFonts w:ascii="Times New Roman" w:hAnsi="Times New Roman"/>
          <w:bCs/>
        </w:rPr>
        <w:t xml:space="preserve"> y </w:t>
      </w:r>
      <w:r w:rsidR="00A3026D" w:rsidRPr="00400E51">
        <w:rPr>
          <w:rFonts w:ascii="Times New Roman" w:hAnsi="Times New Roman"/>
          <w:bCs/>
        </w:rPr>
        <w:t>el acceso a financiación</w:t>
      </w:r>
      <w:r w:rsidR="00574EEF">
        <w:rPr>
          <w:rFonts w:ascii="Times New Roman" w:hAnsi="Times New Roman"/>
          <w:bCs/>
        </w:rPr>
        <w:t xml:space="preserve">, así como los efectos negativos </w:t>
      </w:r>
      <w:r w:rsidR="0040582E">
        <w:rPr>
          <w:rFonts w:ascii="Times New Roman" w:hAnsi="Times New Roman"/>
          <w:bCs/>
        </w:rPr>
        <w:t>de</w:t>
      </w:r>
      <w:r w:rsidR="00A3026D">
        <w:rPr>
          <w:rFonts w:ascii="Times New Roman" w:hAnsi="Times New Roman"/>
          <w:bCs/>
        </w:rPr>
        <w:t xml:space="preserve"> su baja y reducida oferta</w:t>
      </w:r>
      <w:r w:rsidRPr="00400E51">
        <w:rPr>
          <w:rFonts w:ascii="Times New Roman" w:hAnsi="Times New Roman"/>
          <w:bCs/>
        </w:rPr>
        <w:t xml:space="preserve">. </w:t>
      </w:r>
      <w:r w:rsidR="007E30ED">
        <w:rPr>
          <w:rFonts w:ascii="Times New Roman" w:hAnsi="Times New Roman"/>
          <w:bCs/>
        </w:rPr>
        <w:t>Para un emprendedor o un nuevo empresario en Bogotá</w:t>
      </w:r>
      <w:r w:rsidRPr="00400E51">
        <w:rPr>
          <w:rFonts w:ascii="Times New Roman" w:hAnsi="Times New Roman"/>
          <w:bCs/>
        </w:rPr>
        <w:t xml:space="preserve"> las principales fuentes de financiamiento suelen ser el crédito comercial, el microcrédito y los recursos propios, como ahorros familiares, reinversión de utilidades y préstamos de proveedores. Sin embargo, a menor tamaño de la empresa, menores son las posibilidades de acceder a estos mecanismos, debido a restricciones como la falta de garantías</w:t>
      </w:r>
      <w:r w:rsidR="007E30ED">
        <w:rPr>
          <w:rFonts w:ascii="Times New Roman" w:hAnsi="Times New Roman"/>
          <w:bCs/>
        </w:rPr>
        <w:t xml:space="preserve"> por un</w:t>
      </w:r>
      <w:r w:rsidRPr="00400E51">
        <w:rPr>
          <w:rFonts w:ascii="Times New Roman" w:hAnsi="Times New Roman"/>
          <w:bCs/>
        </w:rPr>
        <w:t xml:space="preserve"> historial crediticio limitado </w:t>
      </w:r>
      <w:r w:rsidR="007E30ED">
        <w:rPr>
          <w:rFonts w:ascii="Times New Roman" w:hAnsi="Times New Roman"/>
          <w:bCs/>
        </w:rPr>
        <w:t>que deriva en</w:t>
      </w:r>
      <w:r w:rsidRPr="00400E51">
        <w:rPr>
          <w:rFonts w:ascii="Times New Roman" w:hAnsi="Times New Roman"/>
          <w:bCs/>
        </w:rPr>
        <w:t xml:space="preserve"> </w:t>
      </w:r>
      <w:r w:rsidR="007E30ED">
        <w:rPr>
          <w:rFonts w:ascii="Times New Roman" w:hAnsi="Times New Roman"/>
          <w:bCs/>
        </w:rPr>
        <w:t>bajos niveles de</w:t>
      </w:r>
      <w:r w:rsidRPr="00400E51">
        <w:rPr>
          <w:rFonts w:ascii="Times New Roman" w:hAnsi="Times New Roman"/>
          <w:bCs/>
        </w:rPr>
        <w:t xml:space="preserve"> formalización.</w:t>
      </w:r>
    </w:p>
    <w:p w14:paraId="6A3673E0" w14:textId="77777777" w:rsidR="00400E51" w:rsidRPr="00400E51" w:rsidRDefault="00400E51" w:rsidP="00400E51">
      <w:pPr>
        <w:rPr>
          <w:rFonts w:ascii="Times New Roman" w:hAnsi="Times New Roman"/>
          <w:bCs/>
        </w:rPr>
      </w:pPr>
    </w:p>
    <w:p w14:paraId="460842FF" w14:textId="77777777" w:rsidR="005C6F2B" w:rsidRPr="005C6F2B" w:rsidRDefault="005C6F2B" w:rsidP="005C6F2B">
      <w:pPr>
        <w:spacing w:after="240" w:line="276" w:lineRule="auto"/>
        <w:jc w:val="center"/>
        <w:rPr>
          <w:rFonts w:ascii="Times New Roman" w:hAnsi="Times New Roman"/>
          <w:bCs/>
        </w:rPr>
      </w:pPr>
      <w:r w:rsidRPr="005C6F2B">
        <w:rPr>
          <w:rFonts w:ascii="Times New Roman" w:hAnsi="Times New Roman"/>
          <w:noProof/>
          <w:lang w:val="es-CO" w:eastAsia="es-CO"/>
        </w:rPr>
        <w:drawing>
          <wp:inline distT="0" distB="0" distL="0" distR="0" wp14:anchorId="7581E4BA" wp14:editId="133097FA">
            <wp:extent cx="5534025" cy="1860768"/>
            <wp:effectExtent l="0" t="0" r="0" b="6350"/>
            <wp:docPr id="8031263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126357" name=""/>
                    <pic:cNvPicPr/>
                  </pic:nvPicPr>
                  <pic:blipFill>
                    <a:blip r:embed="rId8"/>
                    <a:stretch>
                      <a:fillRect/>
                    </a:stretch>
                  </pic:blipFill>
                  <pic:spPr>
                    <a:xfrm>
                      <a:off x="0" y="0"/>
                      <a:ext cx="5550188" cy="1866203"/>
                    </a:xfrm>
                    <a:prstGeom prst="rect">
                      <a:avLst/>
                    </a:prstGeom>
                  </pic:spPr>
                </pic:pic>
              </a:graphicData>
            </a:graphic>
          </wp:inline>
        </w:drawing>
      </w:r>
    </w:p>
    <w:p w14:paraId="45FF1CAF" w14:textId="77777777" w:rsidR="005C6F2B" w:rsidRPr="005C6F2B" w:rsidRDefault="005C6F2B" w:rsidP="005C6F2B">
      <w:pPr>
        <w:spacing w:after="240" w:line="276" w:lineRule="auto"/>
        <w:jc w:val="center"/>
        <w:rPr>
          <w:rFonts w:ascii="Times New Roman" w:hAnsi="Times New Roman"/>
          <w:bCs/>
          <w:sz w:val="18"/>
          <w:szCs w:val="18"/>
        </w:rPr>
      </w:pPr>
      <w:r w:rsidRPr="005C6F2B">
        <w:rPr>
          <w:rFonts w:ascii="Times New Roman" w:hAnsi="Times New Roman"/>
          <w:bCs/>
          <w:sz w:val="18"/>
          <w:szCs w:val="18"/>
        </w:rPr>
        <w:t>Fuente: González Patiño &amp; Llames Valenzuela, 2024, pág. 23.</w:t>
      </w:r>
    </w:p>
    <w:p w14:paraId="66FC3C90" w14:textId="55149D68" w:rsidR="005C6F2B" w:rsidRDefault="00EC56EE" w:rsidP="005C6F2B">
      <w:pPr>
        <w:spacing w:after="240" w:line="276" w:lineRule="auto"/>
        <w:jc w:val="both"/>
        <w:rPr>
          <w:rFonts w:ascii="Times New Roman" w:hAnsi="Times New Roman"/>
          <w:bCs/>
        </w:rPr>
      </w:pPr>
      <w:r w:rsidRPr="005C6F2B">
        <w:rPr>
          <w:rFonts w:ascii="Times New Roman" w:hAnsi="Times New Roman"/>
          <w:bCs/>
        </w:rPr>
        <w:t xml:space="preserve">Actualmente, las microempresas </w:t>
      </w:r>
      <w:r w:rsidR="00CF34C4">
        <w:rPr>
          <w:rFonts w:ascii="Times New Roman" w:hAnsi="Times New Roman"/>
          <w:bCs/>
        </w:rPr>
        <w:t xml:space="preserve">en Bogotá </w:t>
      </w:r>
      <w:r w:rsidRPr="005C6F2B">
        <w:rPr>
          <w:rFonts w:ascii="Times New Roman" w:hAnsi="Times New Roman"/>
          <w:bCs/>
        </w:rPr>
        <w:t>representan el 9</w:t>
      </w:r>
      <w:r w:rsidR="00CF34C4">
        <w:rPr>
          <w:rFonts w:ascii="Times New Roman" w:hAnsi="Times New Roman"/>
          <w:bCs/>
        </w:rPr>
        <w:t>2,5</w:t>
      </w:r>
      <w:r w:rsidRPr="005C6F2B">
        <w:rPr>
          <w:rFonts w:ascii="Times New Roman" w:hAnsi="Times New Roman"/>
          <w:bCs/>
        </w:rPr>
        <w:t xml:space="preserve">% del </w:t>
      </w:r>
      <w:r w:rsidR="00203496">
        <w:rPr>
          <w:rFonts w:ascii="Times New Roman" w:hAnsi="Times New Roman"/>
          <w:bCs/>
        </w:rPr>
        <w:t>tejido empresarial</w:t>
      </w:r>
      <w:r w:rsidRPr="005C6F2B">
        <w:rPr>
          <w:rFonts w:ascii="Times New Roman" w:hAnsi="Times New Roman"/>
          <w:bCs/>
        </w:rPr>
        <w:t xml:space="preserve"> </w:t>
      </w:r>
      <w:r w:rsidR="00CF34C4">
        <w:rPr>
          <w:rFonts w:ascii="Times New Roman" w:hAnsi="Times New Roman"/>
          <w:bCs/>
        </w:rPr>
        <w:t>distrital</w:t>
      </w:r>
      <w:r w:rsidRPr="005C6F2B">
        <w:rPr>
          <w:rFonts w:ascii="Times New Roman" w:hAnsi="Times New Roman"/>
          <w:bCs/>
        </w:rPr>
        <w:t xml:space="preserve">, las pequeñas representan el </w:t>
      </w:r>
      <w:r w:rsidR="00CF34C4">
        <w:rPr>
          <w:rFonts w:ascii="Times New Roman" w:hAnsi="Times New Roman"/>
          <w:bCs/>
        </w:rPr>
        <w:t>5</w:t>
      </w:r>
      <w:r w:rsidRPr="005C6F2B">
        <w:rPr>
          <w:rFonts w:ascii="Times New Roman" w:hAnsi="Times New Roman"/>
          <w:bCs/>
        </w:rPr>
        <w:t>,</w:t>
      </w:r>
      <w:r w:rsidR="00CF34C4">
        <w:rPr>
          <w:rFonts w:ascii="Times New Roman" w:hAnsi="Times New Roman"/>
          <w:bCs/>
        </w:rPr>
        <w:t>7</w:t>
      </w:r>
      <w:r w:rsidRPr="005C6F2B">
        <w:rPr>
          <w:rFonts w:ascii="Times New Roman" w:hAnsi="Times New Roman"/>
          <w:bCs/>
        </w:rPr>
        <w:t xml:space="preserve">%, las medianas el </w:t>
      </w:r>
      <w:r w:rsidR="00CF34C4">
        <w:rPr>
          <w:rFonts w:ascii="Times New Roman" w:hAnsi="Times New Roman"/>
          <w:bCs/>
        </w:rPr>
        <w:t>1</w:t>
      </w:r>
      <w:r w:rsidRPr="005C6F2B">
        <w:rPr>
          <w:rFonts w:ascii="Times New Roman" w:hAnsi="Times New Roman"/>
          <w:bCs/>
        </w:rPr>
        <w:t>,</w:t>
      </w:r>
      <w:r w:rsidR="00CF34C4">
        <w:rPr>
          <w:rFonts w:ascii="Times New Roman" w:hAnsi="Times New Roman"/>
          <w:bCs/>
        </w:rPr>
        <w:t>6</w:t>
      </w:r>
      <w:r w:rsidRPr="005C6F2B">
        <w:rPr>
          <w:rFonts w:ascii="Times New Roman" w:hAnsi="Times New Roman"/>
          <w:bCs/>
        </w:rPr>
        <w:t>% y las grandes empresas apenas el 0,</w:t>
      </w:r>
      <w:r w:rsidR="00CF34C4">
        <w:rPr>
          <w:rFonts w:ascii="Times New Roman" w:hAnsi="Times New Roman"/>
          <w:bCs/>
        </w:rPr>
        <w:t>8</w:t>
      </w:r>
      <w:r w:rsidRPr="005C6F2B">
        <w:rPr>
          <w:rFonts w:ascii="Times New Roman" w:hAnsi="Times New Roman"/>
          <w:bCs/>
        </w:rPr>
        <w:t xml:space="preserve">%, lo cual refleja un bajo nivel de desarrollo </w:t>
      </w:r>
      <w:r w:rsidR="0040582E">
        <w:rPr>
          <w:rFonts w:ascii="Times New Roman" w:hAnsi="Times New Roman"/>
          <w:bCs/>
        </w:rPr>
        <w:t xml:space="preserve">y crecimiento </w:t>
      </w:r>
      <w:r w:rsidRPr="005C6F2B">
        <w:rPr>
          <w:rFonts w:ascii="Times New Roman" w:hAnsi="Times New Roman"/>
          <w:bCs/>
        </w:rPr>
        <w:t xml:space="preserve">empresarial en el </w:t>
      </w:r>
      <w:r w:rsidR="00CF34C4">
        <w:rPr>
          <w:rFonts w:ascii="Times New Roman" w:hAnsi="Times New Roman"/>
          <w:bCs/>
        </w:rPr>
        <w:t>distrito</w:t>
      </w:r>
      <w:r w:rsidR="00AB235B">
        <w:rPr>
          <w:rStyle w:val="Refdenotaalpie"/>
          <w:rFonts w:ascii="Times New Roman" w:hAnsi="Times New Roman"/>
          <w:bCs/>
        </w:rPr>
        <w:footnoteReference w:id="4"/>
      </w:r>
      <w:r w:rsidRPr="005C6F2B">
        <w:rPr>
          <w:rFonts w:ascii="Times New Roman" w:hAnsi="Times New Roman"/>
          <w:bCs/>
        </w:rPr>
        <w:t>.</w:t>
      </w:r>
      <w:r>
        <w:rPr>
          <w:rFonts w:ascii="Times New Roman" w:hAnsi="Times New Roman"/>
          <w:bCs/>
        </w:rPr>
        <w:t xml:space="preserve"> </w:t>
      </w:r>
      <w:r w:rsidR="005C6F2B" w:rsidRPr="005C6F2B">
        <w:rPr>
          <w:rFonts w:ascii="Times New Roman" w:hAnsi="Times New Roman"/>
          <w:bCs/>
        </w:rPr>
        <w:t xml:space="preserve">Por </w:t>
      </w:r>
      <w:r w:rsidR="0040582E">
        <w:rPr>
          <w:rFonts w:ascii="Times New Roman" w:hAnsi="Times New Roman"/>
          <w:bCs/>
        </w:rPr>
        <w:t>lo tanto</w:t>
      </w:r>
      <w:r w:rsidR="005C6F2B" w:rsidRPr="005C6F2B">
        <w:rPr>
          <w:rFonts w:ascii="Times New Roman" w:hAnsi="Times New Roman"/>
          <w:bCs/>
        </w:rPr>
        <w:t xml:space="preserve">, es </w:t>
      </w:r>
      <w:r w:rsidR="00CF34C4">
        <w:rPr>
          <w:rFonts w:ascii="Times New Roman" w:hAnsi="Times New Roman"/>
          <w:bCs/>
        </w:rPr>
        <w:t>necesario</w:t>
      </w:r>
      <w:r w:rsidR="005C6F2B" w:rsidRPr="005C6F2B">
        <w:rPr>
          <w:rFonts w:ascii="Times New Roman" w:hAnsi="Times New Roman"/>
          <w:bCs/>
        </w:rPr>
        <w:t xml:space="preserve"> cuestionar las </w:t>
      </w:r>
      <w:r w:rsidR="00CF34C4">
        <w:rPr>
          <w:rFonts w:ascii="Times New Roman" w:hAnsi="Times New Roman"/>
          <w:bCs/>
        </w:rPr>
        <w:t xml:space="preserve">causas de </w:t>
      </w:r>
      <w:r w:rsidR="0040582E">
        <w:rPr>
          <w:rFonts w:ascii="Times New Roman" w:hAnsi="Times New Roman"/>
          <w:bCs/>
        </w:rPr>
        <w:t>este</w:t>
      </w:r>
      <w:r w:rsidR="00CF34C4">
        <w:rPr>
          <w:rFonts w:ascii="Times New Roman" w:hAnsi="Times New Roman"/>
          <w:bCs/>
        </w:rPr>
        <w:t xml:space="preserve"> bajo crecimiento </w:t>
      </w:r>
      <w:r w:rsidR="005C6F2B" w:rsidRPr="005C6F2B">
        <w:rPr>
          <w:rFonts w:ascii="Times New Roman" w:hAnsi="Times New Roman"/>
          <w:bCs/>
        </w:rPr>
        <w:t xml:space="preserve">empresarial </w:t>
      </w:r>
      <w:r w:rsidR="00CF34C4">
        <w:rPr>
          <w:rFonts w:ascii="Times New Roman" w:hAnsi="Times New Roman"/>
          <w:bCs/>
        </w:rPr>
        <w:t xml:space="preserve">que </w:t>
      </w:r>
      <w:r w:rsidR="005C6F2B" w:rsidRPr="005C6F2B">
        <w:rPr>
          <w:rFonts w:ascii="Times New Roman" w:hAnsi="Times New Roman"/>
          <w:bCs/>
        </w:rPr>
        <w:t xml:space="preserve">no </w:t>
      </w:r>
      <w:r w:rsidR="00203496">
        <w:rPr>
          <w:rFonts w:ascii="Times New Roman" w:hAnsi="Times New Roman"/>
          <w:bCs/>
        </w:rPr>
        <w:t xml:space="preserve">se guía hacia un </w:t>
      </w:r>
      <w:r w:rsidR="00CF34C4">
        <w:rPr>
          <w:rFonts w:ascii="Times New Roman" w:hAnsi="Times New Roman"/>
          <w:bCs/>
        </w:rPr>
        <w:t>desarrollo y especialización de sus actividades</w:t>
      </w:r>
      <w:r w:rsidR="00203496">
        <w:rPr>
          <w:rFonts w:ascii="Times New Roman" w:hAnsi="Times New Roman"/>
          <w:bCs/>
        </w:rPr>
        <w:t>,</w:t>
      </w:r>
      <w:r w:rsidR="005C6F2B" w:rsidRPr="005C6F2B">
        <w:rPr>
          <w:rFonts w:ascii="Times New Roman" w:hAnsi="Times New Roman"/>
          <w:bCs/>
        </w:rPr>
        <w:t xml:space="preserve"> </w:t>
      </w:r>
      <w:r w:rsidR="00CF34C4">
        <w:rPr>
          <w:rFonts w:ascii="Times New Roman" w:hAnsi="Times New Roman"/>
          <w:bCs/>
        </w:rPr>
        <w:t>dado que</w:t>
      </w:r>
      <w:r w:rsidR="005C6F2B" w:rsidRPr="005C6F2B">
        <w:rPr>
          <w:rFonts w:ascii="Times New Roman" w:hAnsi="Times New Roman"/>
          <w:bCs/>
        </w:rPr>
        <w:t xml:space="preserve"> “todas estas actividades requieren de instrumentos financieros que las habiliten en primer lugar y aumenten su productividad, haciéndolas más rentables para quien ha apostado por ellas”</w:t>
      </w:r>
      <w:r w:rsidR="00AB235B">
        <w:rPr>
          <w:rStyle w:val="Refdenotaalpie"/>
          <w:rFonts w:ascii="Times New Roman" w:hAnsi="Times New Roman"/>
          <w:bCs/>
        </w:rPr>
        <w:footnoteReference w:id="5"/>
      </w:r>
      <w:r w:rsidR="00CF34C4">
        <w:rPr>
          <w:rFonts w:ascii="Times New Roman" w:hAnsi="Times New Roman"/>
          <w:bCs/>
        </w:rPr>
        <w:t xml:space="preserve"> </w:t>
      </w:r>
      <w:r w:rsidR="00CF34C4" w:rsidRPr="005C6F2B">
        <w:rPr>
          <w:rFonts w:ascii="Times New Roman" w:hAnsi="Times New Roman"/>
          <w:bCs/>
        </w:rPr>
        <w:t xml:space="preserve">con el propósito de </w:t>
      </w:r>
      <w:r w:rsidR="00CF34C4">
        <w:rPr>
          <w:rFonts w:ascii="Times New Roman" w:hAnsi="Times New Roman"/>
          <w:bCs/>
        </w:rPr>
        <w:t>consolidar</w:t>
      </w:r>
      <w:r w:rsidR="00CF34C4" w:rsidRPr="005C6F2B">
        <w:rPr>
          <w:rFonts w:ascii="Times New Roman" w:hAnsi="Times New Roman"/>
          <w:bCs/>
        </w:rPr>
        <w:t xml:space="preserve"> la estabilidad económica y social en el </w:t>
      </w:r>
      <w:r w:rsidR="00CF34C4">
        <w:rPr>
          <w:rFonts w:ascii="Times New Roman" w:hAnsi="Times New Roman"/>
          <w:bCs/>
        </w:rPr>
        <w:t>distrito</w:t>
      </w:r>
      <w:r w:rsidR="005C6F2B" w:rsidRPr="005C6F2B">
        <w:rPr>
          <w:rFonts w:ascii="Times New Roman" w:hAnsi="Times New Roman"/>
          <w:bCs/>
        </w:rPr>
        <w:t xml:space="preserve">. </w:t>
      </w:r>
    </w:p>
    <w:p w14:paraId="0ED415B3" w14:textId="77777777" w:rsidR="009A6B27" w:rsidRDefault="009A6B27" w:rsidP="005C6F2B">
      <w:pPr>
        <w:spacing w:after="240" w:line="276" w:lineRule="auto"/>
        <w:jc w:val="both"/>
        <w:rPr>
          <w:rFonts w:ascii="Times New Roman" w:hAnsi="Times New Roman"/>
          <w:bCs/>
        </w:rPr>
      </w:pPr>
    </w:p>
    <w:p w14:paraId="396DF126" w14:textId="77777777" w:rsidR="009A6B27" w:rsidRDefault="009A6B27" w:rsidP="005C6F2B">
      <w:pPr>
        <w:spacing w:after="240" w:line="276" w:lineRule="auto"/>
        <w:jc w:val="both"/>
        <w:rPr>
          <w:rFonts w:ascii="Times New Roman" w:hAnsi="Times New Roman"/>
          <w:bCs/>
        </w:rPr>
      </w:pPr>
    </w:p>
    <w:p w14:paraId="23BE3219" w14:textId="20F613A2" w:rsidR="00986CAF" w:rsidRPr="00986CAF" w:rsidRDefault="00986CAF" w:rsidP="00986CAF">
      <w:pPr>
        <w:spacing w:after="240" w:line="276" w:lineRule="auto"/>
        <w:jc w:val="center"/>
        <w:rPr>
          <w:rFonts w:ascii="Times New Roman" w:hAnsi="Times New Roman"/>
          <w:b/>
          <w:bCs/>
        </w:rPr>
      </w:pPr>
      <w:r w:rsidRPr="00986CAF">
        <w:rPr>
          <w:rFonts w:ascii="Times New Roman" w:hAnsi="Times New Roman"/>
          <w:b/>
          <w:bCs/>
        </w:rPr>
        <w:t>Empresas con matrícula mercantil activa y vigente</w:t>
      </w:r>
      <w:r>
        <w:rPr>
          <w:rFonts w:ascii="Times New Roman" w:hAnsi="Times New Roman"/>
          <w:b/>
          <w:bCs/>
        </w:rPr>
        <w:br/>
      </w:r>
      <w:r w:rsidRPr="00986CAF">
        <w:rPr>
          <w:rFonts w:ascii="Times New Roman" w:hAnsi="Times New Roman"/>
          <w:b/>
          <w:bCs/>
        </w:rPr>
        <w:t>julio 2024-2025</w:t>
      </w:r>
    </w:p>
    <w:p w14:paraId="31BE906E" w14:textId="4A133441" w:rsidR="00CF34C4" w:rsidRDefault="00986CAF" w:rsidP="00986CAF">
      <w:pPr>
        <w:spacing w:after="240" w:line="276" w:lineRule="auto"/>
        <w:jc w:val="center"/>
        <w:rPr>
          <w:rFonts w:ascii="Times New Roman" w:hAnsi="Times New Roman"/>
          <w:bCs/>
        </w:rPr>
      </w:pPr>
      <w:r>
        <w:rPr>
          <w:noProof/>
          <w:lang w:val="es-CO" w:eastAsia="es-CO"/>
        </w:rPr>
        <w:drawing>
          <wp:inline distT="0" distB="0" distL="0" distR="0" wp14:anchorId="5DC88C3C" wp14:editId="0CD27D22">
            <wp:extent cx="3686913" cy="3704897"/>
            <wp:effectExtent l="0" t="0" r="8890" b="0"/>
            <wp:docPr id="830625822" name="Picture 1" descr="A screenshot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625822" name="Picture 1" descr="A screenshot of a graph&#10;&#10;AI-generated content may be incorrect."/>
                    <pic:cNvPicPr/>
                  </pic:nvPicPr>
                  <pic:blipFill>
                    <a:blip r:embed="rId9"/>
                    <a:stretch>
                      <a:fillRect/>
                    </a:stretch>
                  </pic:blipFill>
                  <pic:spPr>
                    <a:xfrm>
                      <a:off x="0" y="0"/>
                      <a:ext cx="3707720" cy="3725806"/>
                    </a:xfrm>
                    <a:prstGeom prst="rect">
                      <a:avLst/>
                    </a:prstGeom>
                  </pic:spPr>
                </pic:pic>
              </a:graphicData>
            </a:graphic>
          </wp:inline>
        </w:drawing>
      </w:r>
    </w:p>
    <w:p w14:paraId="5A63A2AA" w14:textId="1AB8F246" w:rsidR="00986CAF" w:rsidRPr="00986CAF" w:rsidRDefault="00986CAF" w:rsidP="00986CAF">
      <w:pPr>
        <w:spacing w:after="240" w:line="276" w:lineRule="auto"/>
        <w:jc w:val="center"/>
        <w:rPr>
          <w:rFonts w:ascii="Times New Roman" w:hAnsi="Times New Roman"/>
          <w:bCs/>
          <w:lang w:val="es-CO"/>
        </w:rPr>
      </w:pPr>
      <w:r w:rsidRPr="005C6F2B">
        <w:rPr>
          <w:rFonts w:ascii="Times New Roman" w:hAnsi="Times New Roman"/>
          <w:bCs/>
          <w:sz w:val="18"/>
          <w:szCs w:val="18"/>
        </w:rPr>
        <w:t>Fuente:</w:t>
      </w:r>
      <w:r>
        <w:rPr>
          <w:rFonts w:ascii="Times New Roman" w:hAnsi="Times New Roman"/>
          <w:bCs/>
          <w:sz w:val="18"/>
          <w:szCs w:val="18"/>
        </w:rPr>
        <w:t xml:space="preserve"> </w:t>
      </w:r>
      <w:r w:rsidRPr="00986CAF">
        <w:rPr>
          <w:rFonts w:ascii="Times New Roman" w:hAnsi="Times New Roman"/>
          <w:bCs/>
          <w:sz w:val="18"/>
          <w:szCs w:val="18"/>
        </w:rPr>
        <w:t>Observatorio de Desarrollo Económico de Bogotá. Boletín de Dinámica Empresarial julio 2025.</w:t>
      </w:r>
    </w:p>
    <w:p w14:paraId="75AC5C17" w14:textId="33144544" w:rsidR="00203496" w:rsidRDefault="005C6F2B" w:rsidP="005C6F2B">
      <w:pPr>
        <w:spacing w:after="240" w:line="276" w:lineRule="auto"/>
        <w:jc w:val="both"/>
        <w:rPr>
          <w:rFonts w:ascii="Times New Roman" w:hAnsi="Times New Roman"/>
          <w:bCs/>
        </w:rPr>
      </w:pPr>
      <w:r w:rsidRPr="005C6F2B">
        <w:rPr>
          <w:rFonts w:ascii="Times New Roman" w:hAnsi="Times New Roman"/>
          <w:bCs/>
        </w:rPr>
        <w:t>Generalmente, cuando se aborda el financiamiento empresarial se tiende a pensar en instrumentos de financiación a través de deuda</w:t>
      </w:r>
      <w:r w:rsidR="00203496">
        <w:rPr>
          <w:rFonts w:ascii="Times New Roman" w:hAnsi="Times New Roman"/>
          <w:bCs/>
        </w:rPr>
        <w:t>,</w:t>
      </w:r>
      <w:r w:rsidRPr="005C6F2B">
        <w:rPr>
          <w:rFonts w:ascii="Times New Roman" w:hAnsi="Times New Roman"/>
          <w:bCs/>
        </w:rPr>
        <w:t xml:space="preserve"> como créditos y microcréditos o herramientas</w:t>
      </w:r>
      <w:r w:rsidR="00203496">
        <w:rPr>
          <w:rFonts w:ascii="Times New Roman" w:hAnsi="Times New Roman"/>
          <w:bCs/>
        </w:rPr>
        <w:t xml:space="preserve"> como el </w:t>
      </w:r>
      <w:r w:rsidR="00203496" w:rsidRPr="00203496">
        <w:rPr>
          <w:rFonts w:ascii="Times New Roman" w:hAnsi="Times New Roman"/>
          <w:bCs/>
          <w:i/>
        </w:rPr>
        <w:t>leasing</w:t>
      </w:r>
      <w:r w:rsidR="00203496">
        <w:rPr>
          <w:rFonts w:ascii="Times New Roman" w:hAnsi="Times New Roman"/>
          <w:bCs/>
        </w:rPr>
        <w:t xml:space="preserve"> y el </w:t>
      </w:r>
      <w:r w:rsidR="00203496" w:rsidRPr="00203496">
        <w:rPr>
          <w:rFonts w:ascii="Times New Roman" w:hAnsi="Times New Roman"/>
          <w:bCs/>
          <w:i/>
        </w:rPr>
        <w:t>factoring</w:t>
      </w:r>
      <w:r w:rsidR="00203496">
        <w:rPr>
          <w:rFonts w:ascii="Times New Roman" w:hAnsi="Times New Roman"/>
          <w:bCs/>
        </w:rPr>
        <w:t>,</w:t>
      </w:r>
      <w:r w:rsidRPr="005C6F2B">
        <w:rPr>
          <w:rFonts w:ascii="Times New Roman" w:hAnsi="Times New Roman"/>
          <w:bCs/>
        </w:rPr>
        <w:t xml:space="preserve"> que son servicios prestados, en su mayoría, por la banca comercial. Sin embargo, existe otro universo de financiación a través de instrumentos de capital, como pueden ser la inversión de riesgo (</w:t>
      </w:r>
      <w:r w:rsidRPr="00203496">
        <w:rPr>
          <w:rFonts w:ascii="Times New Roman" w:hAnsi="Times New Roman"/>
          <w:bCs/>
          <w:i/>
        </w:rPr>
        <w:t>venture</w:t>
      </w:r>
      <w:r w:rsidRPr="005C6F2B">
        <w:rPr>
          <w:rFonts w:ascii="Times New Roman" w:hAnsi="Times New Roman"/>
          <w:bCs/>
        </w:rPr>
        <w:t xml:space="preserve"> </w:t>
      </w:r>
      <w:r w:rsidRPr="00203496">
        <w:rPr>
          <w:rFonts w:ascii="Times New Roman" w:hAnsi="Times New Roman"/>
          <w:bCs/>
          <w:i/>
        </w:rPr>
        <w:t>capital</w:t>
      </w:r>
      <w:r w:rsidRPr="005C6F2B">
        <w:rPr>
          <w:rFonts w:ascii="Times New Roman" w:hAnsi="Times New Roman"/>
          <w:bCs/>
        </w:rPr>
        <w:t>), las aceleradoras, los fondos de capital privado (</w:t>
      </w:r>
      <w:r w:rsidRPr="00203496">
        <w:rPr>
          <w:rFonts w:ascii="Times New Roman" w:hAnsi="Times New Roman"/>
          <w:bCs/>
          <w:i/>
        </w:rPr>
        <w:t>private</w:t>
      </w:r>
      <w:r w:rsidRPr="005C6F2B">
        <w:rPr>
          <w:rFonts w:ascii="Times New Roman" w:hAnsi="Times New Roman"/>
          <w:bCs/>
        </w:rPr>
        <w:t xml:space="preserve"> </w:t>
      </w:r>
      <w:r w:rsidRPr="00203496">
        <w:rPr>
          <w:rFonts w:ascii="Times New Roman" w:hAnsi="Times New Roman"/>
          <w:bCs/>
          <w:i/>
        </w:rPr>
        <w:t>equity</w:t>
      </w:r>
      <w:r w:rsidRPr="005C6F2B">
        <w:rPr>
          <w:rFonts w:ascii="Times New Roman" w:hAnsi="Times New Roman"/>
          <w:bCs/>
        </w:rPr>
        <w:t>) y</w:t>
      </w:r>
      <w:r w:rsidR="0040582E">
        <w:rPr>
          <w:rFonts w:ascii="Times New Roman" w:hAnsi="Times New Roman"/>
          <w:bCs/>
        </w:rPr>
        <w:t>, en otra categoría,</w:t>
      </w:r>
      <w:r w:rsidRPr="005C6F2B">
        <w:rPr>
          <w:rFonts w:ascii="Times New Roman" w:hAnsi="Times New Roman"/>
          <w:bCs/>
        </w:rPr>
        <w:t xml:space="preserve"> el mercado accionario. Estas herramientas de inversión de capital son poco conocidas, estudiadas y entendidas </w:t>
      </w:r>
      <w:r w:rsidR="0040582E">
        <w:rPr>
          <w:rFonts w:ascii="Times New Roman" w:hAnsi="Times New Roman"/>
          <w:bCs/>
        </w:rPr>
        <w:t>por lo empresarios de Bogotá</w:t>
      </w:r>
      <w:r w:rsidRPr="005C6F2B">
        <w:rPr>
          <w:rFonts w:ascii="Times New Roman" w:hAnsi="Times New Roman"/>
          <w:bCs/>
        </w:rPr>
        <w:t xml:space="preserve"> y, por lo tanto, sus beneficios actualmente son inutilizados. </w:t>
      </w:r>
    </w:p>
    <w:p w14:paraId="7055E141" w14:textId="695EE61C" w:rsidR="0059346F" w:rsidRDefault="0059346F" w:rsidP="0059346F">
      <w:pPr>
        <w:spacing w:after="240" w:line="276" w:lineRule="auto"/>
        <w:jc w:val="both"/>
        <w:rPr>
          <w:rFonts w:ascii="Times New Roman" w:hAnsi="Times New Roman"/>
          <w:bCs/>
        </w:rPr>
      </w:pPr>
      <w:r w:rsidRPr="0059346F">
        <w:rPr>
          <w:rFonts w:ascii="Times New Roman" w:hAnsi="Times New Roman"/>
          <w:bCs/>
        </w:rPr>
        <w:t>En el desarrollo de una empresa el acceso a financiamiento no solo determina su posibilidad de sobrevivir, sino también su capacidad para escalar, innovar y consolidarse en el mercado. Las fuentes de financiación —ya sean de capital o de deuda— están profundamente relacionadas con el grado de madurez del emprendimiento, el nivel de riesgo que asumen los inversionistas, y las expectativas de retorno asociadas. Como lo ilustra la gráfica a continuación, existen distintos vehículos financieros que operan de manera escalonada desde la etapa de descubrimiento hasta la madurez empresarial.</w:t>
      </w:r>
    </w:p>
    <w:p w14:paraId="29AF610B" w14:textId="77777777" w:rsidR="005C6F2B" w:rsidRPr="005C6F2B" w:rsidRDefault="005C6F2B" w:rsidP="005C6F2B">
      <w:pPr>
        <w:spacing w:after="240" w:line="276" w:lineRule="auto"/>
        <w:jc w:val="center"/>
        <w:rPr>
          <w:rFonts w:ascii="Times New Roman" w:hAnsi="Times New Roman"/>
          <w:b/>
          <w:bCs/>
        </w:rPr>
      </w:pPr>
      <w:r w:rsidRPr="005C6F2B">
        <w:rPr>
          <w:rFonts w:ascii="Times New Roman" w:hAnsi="Times New Roman"/>
          <w:b/>
          <w:bCs/>
        </w:rPr>
        <w:t>Instrumentos de financiación según etapa de desarrollo empresarial</w:t>
      </w:r>
    </w:p>
    <w:p w14:paraId="482AA229" w14:textId="77777777" w:rsidR="005C6F2B" w:rsidRPr="005C6F2B" w:rsidRDefault="005C6F2B" w:rsidP="005C6F2B">
      <w:pPr>
        <w:spacing w:after="240" w:line="276" w:lineRule="auto"/>
        <w:jc w:val="center"/>
        <w:rPr>
          <w:rFonts w:ascii="Times New Roman" w:hAnsi="Times New Roman"/>
          <w:bCs/>
        </w:rPr>
      </w:pPr>
      <w:r w:rsidRPr="005C6F2B">
        <w:rPr>
          <w:rFonts w:ascii="Times New Roman" w:hAnsi="Times New Roman"/>
          <w:noProof/>
          <w:lang w:val="es-CO" w:eastAsia="es-CO"/>
        </w:rPr>
        <w:drawing>
          <wp:inline distT="0" distB="0" distL="0" distR="0" wp14:anchorId="4A431495" wp14:editId="66DBA7D6">
            <wp:extent cx="4349363" cy="4592039"/>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7654"/>
                    <a:stretch/>
                  </pic:blipFill>
                  <pic:spPr bwMode="auto">
                    <a:xfrm>
                      <a:off x="0" y="0"/>
                      <a:ext cx="4370830" cy="4614704"/>
                    </a:xfrm>
                    <a:prstGeom prst="rect">
                      <a:avLst/>
                    </a:prstGeom>
                    <a:ln>
                      <a:noFill/>
                    </a:ln>
                    <a:extLst>
                      <a:ext uri="{53640926-AAD7-44D8-BBD7-CCE9431645EC}">
                        <a14:shadowObscured xmlns:a14="http://schemas.microsoft.com/office/drawing/2010/main"/>
                      </a:ext>
                    </a:extLst>
                  </pic:spPr>
                </pic:pic>
              </a:graphicData>
            </a:graphic>
          </wp:inline>
        </w:drawing>
      </w:r>
    </w:p>
    <w:p w14:paraId="269BDD75" w14:textId="77777777" w:rsidR="005C6F2B" w:rsidRPr="005C6F2B" w:rsidRDefault="005C6F2B" w:rsidP="005C6F2B">
      <w:pPr>
        <w:spacing w:after="240" w:line="276" w:lineRule="auto"/>
        <w:jc w:val="center"/>
        <w:rPr>
          <w:rFonts w:ascii="Times New Roman" w:hAnsi="Times New Roman"/>
          <w:bCs/>
          <w:sz w:val="18"/>
          <w:szCs w:val="18"/>
        </w:rPr>
      </w:pPr>
      <w:r w:rsidRPr="005C6F2B">
        <w:rPr>
          <w:rFonts w:ascii="Times New Roman" w:hAnsi="Times New Roman"/>
          <w:bCs/>
          <w:sz w:val="18"/>
          <w:szCs w:val="18"/>
        </w:rPr>
        <w:t>Fuente: CPC con base en Vesga et al. (2017) y Cámara de Comercio de Cali (2021). Citado por Consejo Privado de Competitividad, 2022, pág. 372.</w:t>
      </w:r>
    </w:p>
    <w:p w14:paraId="5ADBDDBE" w14:textId="77777777" w:rsidR="00986CAF" w:rsidRDefault="005C6F2B" w:rsidP="005C6F2B">
      <w:pPr>
        <w:spacing w:after="240" w:line="276" w:lineRule="auto"/>
        <w:jc w:val="both"/>
      </w:pPr>
      <w:r w:rsidRPr="005C6F2B">
        <w:rPr>
          <w:rFonts w:ascii="Times New Roman" w:hAnsi="Times New Roman"/>
          <w:bCs/>
        </w:rPr>
        <w:t>Con este esquema, es posible evidenciar la línea de crecimiento y desarrollo que, en la mayor parte de los casos, debería tener una empresa a través de tres etapas de madurez</w:t>
      </w:r>
      <w:r w:rsidR="00182341">
        <w:rPr>
          <w:rFonts w:ascii="Times New Roman" w:hAnsi="Times New Roman"/>
          <w:bCs/>
        </w:rPr>
        <w:t>.</w:t>
      </w:r>
      <w:r w:rsidR="0059346F" w:rsidRPr="0059346F">
        <w:t xml:space="preserve"> </w:t>
      </w:r>
    </w:p>
    <w:p w14:paraId="41A1F6E4" w14:textId="62CD9F70" w:rsidR="00986CAF" w:rsidRDefault="0059346F" w:rsidP="005C6F2B">
      <w:pPr>
        <w:spacing w:after="240" w:line="276" w:lineRule="auto"/>
        <w:jc w:val="both"/>
        <w:rPr>
          <w:rFonts w:ascii="Times New Roman" w:hAnsi="Times New Roman"/>
          <w:bCs/>
        </w:rPr>
      </w:pPr>
      <w:r w:rsidRPr="0059346F">
        <w:rPr>
          <w:rFonts w:ascii="Times New Roman" w:hAnsi="Times New Roman"/>
          <w:bCs/>
        </w:rPr>
        <w:t>En las fases más tempranas, donde el riesgo es más elevado y las ventas aún son incipientes, predominan instrumentos como el capital semilla, los ángeles inversionistas o las aceleradoras. Estas formas de inversión no requieren garantías tradicionales, sino que apuestan por el potencial de la idea, el equipo emprendedor y la innovación del modelo de negocio</w:t>
      </w:r>
      <w:r w:rsidR="0040582E">
        <w:rPr>
          <w:rFonts w:ascii="Times New Roman" w:hAnsi="Times New Roman"/>
          <w:bCs/>
        </w:rPr>
        <w:t>.</w:t>
      </w:r>
    </w:p>
    <w:p w14:paraId="38CC9399" w14:textId="2B00329A" w:rsidR="0059346F" w:rsidRDefault="0059346F" w:rsidP="005C6F2B">
      <w:pPr>
        <w:spacing w:after="240" w:line="276" w:lineRule="auto"/>
        <w:jc w:val="both"/>
        <w:rPr>
          <w:rFonts w:ascii="Times New Roman" w:hAnsi="Times New Roman"/>
          <w:bCs/>
        </w:rPr>
      </w:pPr>
      <w:r w:rsidRPr="0059346F">
        <w:rPr>
          <w:rFonts w:ascii="Times New Roman" w:hAnsi="Times New Roman"/>
          <w:bCs/>
        </w:rPr>
        <w:t>A medida que la empresa avanza en su curva de crecimiento y validación de mercado, emergen vehículos más sofisticados como los fondos de capital emprendedor (Venture Capital), los fondos de capital privado (</w:t>
      </w:r>
      <w:r w:rsidRPr="00892435">
        <w:rPr>
          <w:rFonts w:ascii="Times New Roman" w:hAnsi="Times New Roman"/>
          <w:bCs/>
          <w:i/>
        </w:rPr>
        <w:t>Private</w:t>
      </w:r>
      <w:r w:rsidRPr="0059346F">
        <w:rPr>
          <w:rFonts w:ascii="Times New Roman" w:hAnsi="Times New Roman"/>
          <w:bCs/>
        </w:rPr>
        <w:t xml:space="preserve"> </w:t>
      </w:r>
      <w:r w:rsidRPr="00892435">
        <w:rPr>
          <w:rFonts w:ascii="Times New Roman" w:hAnsi="Times New Roman"/>
          <w:bCs/>
          <w:i/>
        </w:rPr>
        <w:t>Equity</w:t>
      </w:r>
      <w:r w:rsidRPr="0059346F">
        <w:rPr>
          <w:rFonts w:ascii="Times New Roman" w:hAnsi="Times New Roman"/>
          <w:bCs/>
        </w:rPr>
        <w:t xml:space="preserve">), el crowdfunding, e incluso el acceso a mercados bursátiles a través de procesos de IPO. Paralelamente, en el eje de la deuda, los mecanismos disponibles se amplían con base en la capacidad de repago y flujos de caja esperados, incluyendo el microcrédito, crédito personal, plataformas </w:t>
      </w:r>
      <w:r w:rsidRPr="00892435">
        <w:rPr>
          <w:rFonts w:ascii="Times New Roman" w:hAnsi="Times New Roman"/>
          <w:bCs/>
          <w:i/>
        </w:rPr>
        <w:t>Fintech</w:t>
      </w:r>
      <w:r w:rsidRPr="0059346F">
        <w:rPr>
          <w:rFonts w:ascii="Times New Roman" w:hAnsi="Times New Roman"/>
          <w:bCs/>
        </w:rPr>
        <w:t xml:space="preserve">, banca comercial, </w:t>
      </w:r>
      <w:r w:rsidRPr="00892435">
        <w:rPr>
          <w:rFonts w:ascii="Times New Roman" w:hAnsi="Times New Roman"/>
          <w:bCs/>
          <w:i/>
        </w:rPr>
        <w:t>factoring</w:t>
      </w:r>
      <w:r w:rsidRPr="0059346F">
        <w:rPr>
          <w:rFonts w:ascii="Times New Roman" w:hAnsi="Times New Roman"/>
          <w:bCs/>
        </w:rPr>
        <w:t xml:space="preserve"> y emisión de bonos.</w:t>
      </w:r>
    </w:p>
    <w:p w14:paraId="1B47140D" w14:textId="77777777" w:rsidR="0059346F" w:rsidRDefault="0059346F" w:rsidP="0023696D">
      <w:pPr>
        <w:spacing w:after="240" w:line="276" w:lineRule="auto"/>
        <w:jc w:val="center"/>
        <w:rPr>
          <w:rFonts w:ascii="Times New Roman" w:hAnsi="Times New Roman"/>
          <w:bCs/>
        </w:rPr>
      </w:pPr>
      <w:r>
        <w:rPr>
          <w:rFonts w:ascii="Times New Roman" w:hAnsi="Times New Roman"/>
          <w:bCs/>
          <w:noProof/>
          <w:lang w:val="es-CO" w:eastAsia="es-CO"/>
        </w:rPr>
        <w:drawing>
          <wp:inline distT="0" distB="0" distL="0" distR="0" wp14:anchorId="6F2D333D" wp14:editId="5CF12425">
            <wp:extent cx="5202621" cy="3121573"/>
            <wp:effectExtent l="0" t="0" r="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anciacion_por_etapa.png"/>
                    <pic:cNvPicPr/>
                  </pic:nvPicPr>
                  <pic:blipFill>
                    <a:blip r:embed="rId11">
                      <a:extLst>
                        <a:ext uri="{28A0092B-C50C-407E-A947-70E740481C1C}">
                          <a14:useLocalDpi xmlns:a14="http://schemas.microsoft.com/office/drawing/2010/main" val="0"/>
                        </a:ext>
                      </a:extLst>
                    </a:blip>
                    <a:stretch>
                      <a:fillRect/>
                    </a:stretch>
                  </pic:blipFill>
                  <pic:spPr>
                    <a:xfrm>
                      <a:off x="0" y="0"/>
                      <a:ext cx="5216480" cy="3129888"/>
                    </a:xfrm>
                    <a:prstGeom prst="rect">
                      <a:avLst/>
                    </a:prstGeom>
                  </pic:spPr>
                </pic:pic>
              </a:graphicData>
            </a:graphic>
          </wp:inline>
        </w:drawing>
      </w:r>
    </w:p>
    <w:p w14:paraId="10D8E46F" w14:textId="0E04256D" w:rsidR="00892435" w:rsidRPr="00892435" w:rsidRDefault="00892435" w:rsidP="00892435">
      <w:pPr>
        <w:spacing w:after="240" w:line="276" w:lineRule="auto"/>
        <w:jc w:val="center"/>
        <w:rPr>
          <w:rFonts w:ascii="Times New Roman" w:hAnsi="Times New Roman"/>
          <w:bCs/>
          <w:sz w:val="18"/>
          <w:szCs w:val="18"/>
        </w:rPr>
      </w:pPr>
      <w:r w:rsidRPr="005C6F2B">
        <w:rPr>
          <w:rFonts w:ascii="Times New Roman" w:hAnsi="Times New Roman"/>
          <w:bCs/>
          <w:sz w:val="18"/>
          <w:szCs w:val="18"/>
        </w:rPr>
        <w:t xml:space="preserve">Fuente: </w:t>
      </w:r>
      <w:r w:rsidR="008E033E">
        <w:rPr>
          <w:rFonts w:ascii="Times New Roman" w:hAnsi="Times New Roman"/>
          <w:bCs/>
          <w:sz w:val="18"/>
          <w:szCs w:val="18"/>
        </w:rPr>
        <w:t xml:space="preserve">Elaborado </w:t>
      </w:r>
      <w:r w:rsidR="00986CAF">
        <w:rPr>
          <w:rFonts w:ascii="Times New Roman" w:hAnsi="Times New Roman"/>
          <w:bCs/>
          <w:sz w:val="18"/>
          <w:szCs w:val="18"/>
        </w:rPr>
        <w:t>mediante</w:t>
      </w:r>
      <w:r w:rsidR="008E033E">
        <w:rPr>
          <w:rFonts w:ascii="Times New Roman" w:hAnsi="Times New Roman"/>
          <w:bCs/>
          <w:sz w:val="18"/>
          <w:szCs w:val="18"/>
        </w:rPr>
        <w:t xml:space="preserve"> c</w:t>
      </w:r>
      <w:r>
        <w:rPr>
          <w:rFonts w:ascii="Times New Roman" w:hAnsi="Times New Roman"/>
          <w:bCs/>
          <w:sz w:val="18"/>
          <w:szCs w:val="18"/>
        </w:rPr>
        <w:t xml:space="preserve">hat GPT con datos de </w:t>
      </w:r>
      <w:r w:rsidR="008E033E">
        <w:rPr>
          <w:rFonts w:ascii="Times New Roman" w:hAnsi="Times New Roman"/>
          <w:bCs/>
          <w:sz w:val="18"/>
          <w:szCs w:val="18"/>
        </w:rPr>
        <w:t>EY Colombia &amp; Bancoldex (2018), Rockstart (2020), iNNpulsa Colombia (2021), Consejo Privado de Competitividad (2022) y ColCapital (2024).</w:t>
      </w:r>
    </w:p>
    <w:p w14:paraId="6BC02228" w14:textId="2CA25A92" w:rsidR="00207B14" w:rsidRPr="00207B14" w:rsidRDefault="00207B14" w:rsidP="00207B14">
      <w:pPr>
        <w:pStyle w:val="NormalWeb"/>
        <w:spacing w:line="276" w:lineRule="auto"/>
        <w:jc w:val="both"/>
        <w:rPr>
          <w:lang w:val="es-CO"/>
        </w:rPr>
      </w:pPr>
      <w:r w:rsidRPr="00207B14">
        <w:rPr>
          <w:lang w:val="es-CO"/>
        </w:rPr>
        <w:t xml:space="preserve">Uno de los obstáculos más persistentes para el desarrollo de instrumentos de capital en </w:t>
      </w:r>
      <w:r w:rsidR="00986CAF">
        <w:rPr>
          <w:lang w:val="es-CO"/>
        </w:rPr>
        <w:t>Bogotá</w:t>
      </w:r>
      <w:r w:rsidRPr="00207B14">
        <w:rPr>
          <w:lang w:val="es-CO"/>
        </w:rPr>
        <w:t xml:space="preserve"> es la arraigada cultura empresarial centrada en la autonomía individual del emprendedor. Según datos de la Cám</w:t>
      </w:r>
      <w:r w:rsidR="00DF1F2C">
        <w:rPr>
          <w:lang w:val="es-CO"/>
        </w:rPr>
        <w:t>ara de Comercio de Bogotá</w:t>
      </w:r>
      <w:r w:rsidRPr="00207B14">
        <w:rPr>
          <w:lang w:val="es-CO"/>
        </w:rPr>
        <w:t>, el 70% de las unidades productivas del país están constituidas bajo esquemas de propiedad unipersonal, lo cual refleja una profunda resistencia a compartir control o abrir la toma de decisiones a terceros, incluyendo inversionistas</w:t>
      </w:r>
      <w:r w:rsidR="00DF1F2C">
        <w:rPr>
          <w:rStyle w:val="Refdenotaalpie"/>
          <w:lang w:val="es-CO"/>
        </w:rPr>
        <w:footnoteReference w:id="6"/>
      </w:r>
      <w:r w:rsidRPr="00207B14">
        <w:rPr>
          <w:lang w:val="es-CO"/>
        </w:rPr>
        <w:t>. Esta resistencia cultural, si bien comprensible desde una lógica de independencia, se convierte en una barrera estructural para escalar modelos de negocio, atraer inversión especializada y profesionalizar la gestión empresarial.</w:t>
      </w:r>
    </w:p>
    <w:p w14:paraId="44EB3C56" w14:textId="77777777" w:rsidR="00207B14" w:rsidRPr="005C6F2B" w:rsidRDefault="00207B14" w:rsidP="00207B14">
      <w:pPr>
        <w:spacing w:after="240" w:line="276" w:lineRule="auto"/>
        <w:jc w:val="center"/>
        <w:rPr>
          <w:rFonts w:ascii="Times New Roman" w:hAnsi="Times New Roman"/>
          <w:bCs/>
        </w:rPr>
      </w:pPr>
      <w:r w:rsidRPr="005C6F2B">
        <w:rPr>
          <w:rFonts w:ascii="Times New Roman" w:hAnsi="Times New Roman"/>
          <w:noProof/>
          <w:lang w:val="es-CO" w:eastAsia="es-CO"/>
        </w:rPr>
        <w:drawing>
          <wp:inline distT="0" distB="0" distL="0" distR="0" wp14:anchorId="6FD8D504" wp14:editId="73EF2BB4">
            <wp:extent cx="5208181" cy="3137338"/>
            <wp:effectExtent l="0" t="0" r="0" b="635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56497" cy="3166443"/>
                    </a:xfrm>
                    <a:prstGeom prst="rect">
                      <a:avLst/>
                    </a:prstGeom>
                  </pic:spPr>
                </pic:pic>
              </a:graphicData>
            </a:graphic>
          </wp:inline>
        </w:drawing>
      </w:r>
    </w:p>
    <w:p w14:paraId="0F7686FD" w14:textId="77777777" w:rsidR="00207B14" w:rsidRPr="005C6F2B" w:rsidRDefault="00207B14" w:rsidP="00207B14">
      <w:pPr>
        <w:spacing w:after="240" w:line="276" w:lineRule="auto"/>
        <w:jc w:val="center"/>
        <w:rPr>
          <w:rFonts w:ascii="Times New Roman" w:hAnsi="Times New Roman"/>
          <w:bCs/>
          <w:sz w:val="18"/>
          <w:szCs w:val="18"/>
        </w:rPr>
      </w:pPr>
      <w:r w:rsidRPr="005C6F2B">
        <w:rPr>
          <w:rFonts w:ascii="Times New Roman" w:hAnsi="Times New Roman"/>
          <w:bCs/>
          <w:sz w:val="18"/>
          <w:szCs w:val="18"/>
        </w:rPr>
        <w:t>Fuente: Cámara de Comercio de Bogotá, 2023. Citado por Consejo Privado de Competitividad, 2024, pág. 471.</w:t>
      </w:r>
    </w:p>
    <w:p w14:paraId="51253FEC" w14:textId="2F82854F" w:rsidR="00207B14" w:rsidRPr="00207B14" w:rsidRDefault="00207B14" w:rsidP="00207B14">
      <w:pPr>
        <w:pStyle w:val="NormalWeb"/>
        <w:spacing w:line="276" w:lineRule="auto"/>
        <w:jc w:val="both"/>
        <w:rPr>
          <w:lang w:val="es-CO"/>
        </w:rPr>
      </w:pPr>
      <w:r>
        <w:rPr>
          <w:lang w:val="es-CO"/>
        </w:rPr>
        <w:t>Además</w:t>
      </w:r>
      <w:r w:rsidRPr="00207B14">
        <w:rPr>
          <w:lang w:val="es-CO"/>
        </w:rPr>
        <w:t>, existe un bajo conocimiento sobre las ventajas del capital privado como instrumento de acompañamiento estratégico, más allá del aporte financiero. Estudios como el</w:t>
      </w:r>
      <w:r w:rsidR="00755ED4">
        <w:rPr>
          <w:lang w:val="es-CO"/>
        </w:rPr>
        <w:t xml:space="preserve"> del </w:t>
      </w:r>
      <w:r w:rsidR="00755ED4" w:rsidRPr="00755ED4">
        <w:rPr>
          <w:lang w:val="es-CO"/>
        </w:rPr>
        <w:t xml:space="preserve">Ecosistema de Capital Privado y Emprendedor </w:t>
      </w:r>
      <w:r w:rsidRPr="00207B14">
        <w:rPr>
          <w:lang w:val="es-CO"/>
        </w:rPr>
        <w:t>de ColCapital (202</w:t>
      </w:r>
      <w:r w:rsidR="00755ED4">
        <w:rPr>
          <w:lang w:val="es-CO"/>
        </w:rPr>
        <w:t>5</w:t>
      </w:r>
      <w:r w:rsidRPr="00207B14">
        <w:rPr>
          <w:lang w:val="es-CO"/>
        </w:rPr>
        <w:t>)</w:t>
      </w:r>
      <w:r w:rsidR="00DF1F2C">
        <w:rPr>
          <w:rStyle w:val="Refdenotaalpie"/>
          <w:lang w:val="es-CO"/>
        </w:rPr>
        <w:footnoteReference w:id="7"/>
      </w:r>
      <w:r w:rsidRPr="00207B14">
        <w:rPr>
          <w:lang w:val="es-CO"/>
        </w:rPr>
        <w:t xml:space="preserve"> demuestran </w:t>
      </w:r>
      <w:r w:rsidRPr="00986CAF">
        <w:rPr>
          <w:b/>
          <w:bCs/>
          <w:lang w:val="es-CO"/>
        </w:rPr>
        <w:t>que los fondos de capital no solo inyectan recursos, sino que aportan metodologías, redes, visión a largo plazo y criterios de gobierno corporativo, que resultan determinantes para que una empresa evolucione de un microemprendimiento a una organización sostenible</w:t>
      </w:r>
      <w:r w:rsidRPr="00207B14">
        <w:rPr>
          <w:lang w:val="es-CO"/>
        </w:rPr>
        <w:t>. Sin embargo, la escasa formación financiera de base y la falta de referentes empresariales que hayan transitado exitosamente por procesos de apertura accionaria perpetúan la desconfianza frente al capital externo</w:t>
      </w:r>
      <w:r>
        <w:rPr>
          <w:lang w:val="es-CO"/>
        </w:rPr>
        <w:t xml:space="preserve">, incluyendo </w:t>
      </w:r>
      <w:r w:rsidR="004E54CC">
        <w:rPr>
          <w:lang w:val="es-CO"/>
        </w:rPr>
        <w:t>I</w:t>
      </w:r>
      <w:r>
        <w:rPr>
          <w:lang w:val="es-CO"/>
        </w:rPr>
        <w:t xml:space="preserve">nversión </w:t>
      </w:r>
      <w:r w:rsidR="004E54CC">
        <w:rPr>
          <w:lang w:val="es-CO"/>
        </w:rPr>
        <w:t>E</w:t>
      </w:r>
      <w:r>
        <w:rPr>
          <w:lang w:val="es-CO"/>
        </w:rPr>
        <w:t xml:space="preserve">xtranjera </w:t>
      </w:r>
      <w:r w:rsidR="004E54CC">
        <w:rPr>
          <w:lang w:val="es-CO"/>
        </w:rPr>
        <w:t>D</w:t>
      </w:r>
      <w:r>
        <w:rPr>
          <w:lang w:val="es-CO"/>
        </w:rPr>
        <w:t>irecta</w:t>
      </w:r>
      <w:r w:rsidR="004E54CC">
        <w:rPr>
          <w:lang w:val="es-CO"/>
        </w:rPr>
        <w:t xml:space="preserve"> (IED)</w:t>
      </w:r>
      <w:r w:rsidRPr="00207B14">
        <w:rPr>
          <w:lang w:val="es-CO"/>
        </w:rPr>
        <w:t>.</w:t>
      </w:r>
    </w:p>
    <w:p w14:paraId="1D121A6D" w14:textId="142D44F7" w:rsidR="00207B14" w:rsidRPr="00207B14" w:rsidRDefault="00207B14" w:rsidP="00207B14">
      <w:pPr>
        <w:pStyle w:val="NormalWeb"/>
        <w:spacing w:line="276" w:lineRule="auto"/>
        <w:jc w:val="both"/>
        <w:rPr>
          <w:lang w:val="es-CO"/>
        </w:rPr>
      </w:pPr>
      <w:r w:rsidRPr="00207B14">
        <w:rPr>
          <w:lang w:val="es-CO"/>
        </w:rPr>
        <w:t xml:space="preserve">Esta cultura del “control total” también se ve reforzada por un sistema educativo que no forma desde etapas tempranas en </w:t>
      </w:r>
      <w:r w:rsidR="00B5395F">
        <w:rPr>
          <w:lang w:val="es-CO"/>
        </w:rPr>
        <w:t>conocimientos</w:t>
      </w:r>
      <w:r w:rsidRPr="00207B14">
        <w:rPr>
          <w:lang w:val="es-CO"/>
        </w:rPr>
        <w:t xml:space="preserve"> de estructura societaria, gobierno corporativo</w:t>
      </w:r>
      <w:r w:rsidR="00B5395F">
        <w:rPr>
          <w:lang w:val="es-CO"/>
        </w:rPr>
        <w:t>,</w:t>
      </w:r>
      <w:r w:rsidRPr="00207B14">
        <w:rPr>
          <w:lang w:val="es-CO"/>
        </w:rPr>
        <w:t xml:space="preserve"> ni mecanismos de inversión alternativa. </w:t>
      </w:r>
      <w:r w:rsidRPr="004E54CC">
        <w:rPr>
          <w:b/>
          <w:bCs/>
          <w:lang w:val="es-CO"/>
        </w:rPr>
        <w:t xml:space="preserve">La mayoría de emprendedores colombianos desconocen qué es un </w:t>
      </w:r>
      <w:r w:rsidRPr="004E54CC">
        <w:rPr>
          <w:b/>
          <w:bCs/>
          <w:i/>
          <w:lang w:val="es-CO"/>
        </w:rPr>
        <w:t>term sheet</w:t>
      </w:r>
      <w:r w:rsidRPr="004E54CC">
        <w:rPr>
          <w:b/>
          <w:bCs/>
          <w:lang w:val="es-CO"/>
        </w:rPr>
        <w:t>, cómo se calcula la dilución o cómo se negocia una participación estratégica con un fondo</w:t>
      </w:r>
      <w:r w:rsidRPr="004E54CC">
        <w:rPr>
          <w:lang w:val="es-CO"/>
        </w:rPr>
        <w:t>.</w:t>
      </w:r>
      <w:r w:rsidRPr="004E54CC">
        <w:rPr>
          <w:b/>
          <w:bCs/>
          <w:lang w:val="es-CO"/>
        </w:rPr>
        <w:t xml:space="preserve"> El resultado es un ecosistema donde la informalidad y la autosuficiencia lim</w:t>
      </w:r>
      <w:r w:rsidR="00D9121F" w:rsidRPr="004E54CC">
        <w:rPr>
          <w:b/>
          <w:bCs/>
          <w:lang w:val="es-CO"/>
        </w:rPr>
        <w:t>itan el crecimiento exponencial</w:t>
      </w:r>
      <w:r w:rsidRPr="004E54CC">
        <w:rPr>
          <w:b/>
          <w:bCs/>
          <w:lang w:val="es-CO"/>
        </w:rPr>
        <w:t xml:space="preserve"> y donde muchos negocios exitosos en su etapa inicial se estancan por no acceder a herramientas de capital necesarias para su siguiente nivel de desarrollo</w:t>
      </w:r>
      <w:r w:rsidRPr="00207B14">
        <w:rPr>
          <w:lang w:val="es-CO"/>
        </w:rPr>
        <w:t>.</w:t>
      </w:r>
    </w:p>
    <w:p w14:paraId="5A8C8B55" w14:textId="77777777" w:rsidR="00207B14" w:rsidRDefault="00207B14" w:rsidP="00207B14">
      <w:pPr>
        <w:pStyle w:val="NormalWeb"/>
        <w:spacing w:line="276" w:lineRule="auto"/>
        <w:jc w:val="both"/>
        <w:rPr>
          <w:lang w:val="es-CO"/>
        </w:rPr>
      </w:pPr>
      <w:r w:rsidRPr="00207B14">
        <w:rPr>
          <w:lang w:val="es-CO"/>
        </w:rPr>
        <w:t>Por esta razón, el fortalecimiento del ecosistema de capital en Bogotá no puede limitarse a la creación de instrumentos financieros; debe venir acompañado de una transformación cultural e institucional que modifique la percepción del capital como una amenaza y lo posicione como una palanca para el crecimiento, la formalización y la generación de valor compartido.</w:t>
      </w:r>
    </w:p>
    <w:p w14:paraId="75A12C36" w14:textId="25E342CF" w:rsidR="00EF112F" w:rsidRDefault="00DD26EB" w:rsidP="00207B14">
      <w:pPr>
        <w:pStyle w:val="NormalWeb"/>
        <w:spacing w:line="276" w:lineRule="auto"/>
        <w:jc w:val="both"/>
        <w:rPr>
          <w:lang w:val="es-CO"/>
        </w:rPr>
      </w:pPr>
      <w:r>
        <w:rPr>
          <w:lang w:val="es-CO"/>
        </w:rPr>
        <w:t>Ante esto, la administración distrital</w:t>
      </w:r>
      <w:r w:rsidR="00EF112F">
        <w:rPr>
          <w:lang w:val="es-CO"/>
        </w:rPr>
        <w:t>, a través de la Secretaría de Desarrollo Económico,</w:t>
      </w:r>
      <w:r>
        <w:rPr>
          <w:lang w:val="es-CO"/>
        </w:rPr>
        <w:t xml:space="preserve"> ha impulsado </w:t>
      </w:r>
      <w:r w:rsidR="00EF112F">
        <w:rPr>
          <w:lang w:val="es-CO"/>
        </w:rPr>
        <w:t xml:space="preserve">la iniciativa “Hecho en Bogotá” como un programa que busca </w:t>
      </w:r>
      <w:r w:rsidR="00F5225E" w:rsidRPr="00F5225E">
        <w:rPr>
          <w:lang w:val="es-ES"/>
        </w:rPr>
        <w:t>el progreso económico y social de la ciudad mediante el fortalecimiento de las pequeñas y medianas empresas (Pymes) y emprendedores locale</w:t>
      </w:r>
      <w:r w:rsidR="00F5225E">
        <w:rPr>
          <w:lang w:val="es-ES"/>
        </w:rPr>
        <w:t xml:space="preserve">s, por medio de </w:t>
      </w:r>
      <w:r w:rsidR="00F5225E" w:rsidRPr="00F5225E">
        <w:rPr>
          <w:lang w:val="es-ES"/>
        </w:rPr>
        <w:t>herramientas, recursos y servicios de asesoría con el objetivo de elevar la productividad y competitividad de las empresas bogotanas</w:t>
      </w:r>
      <w:r w:rsidR="00F5225E">
        <w:rPr>
          <w:rStyle w:val="Refdenotaalpie"/>
          <w:lang w:val="es-ES"/>
        </w:rPr>
        <w:footnoteReference w:id="8"/>
      </w:r>
      <w:r w:rsidR="00F5225E">
        <w:rPr>
          <w:lang w:val="es-ES"/>
        </w:rPr>
        <w:t>.</w:t>
      </w:r>
    </w:p>
    <w:p w14:paraId="031F0D40" w14:textId="5DB04F0B" w:rsidR="00DD26EB" w:rsidRDefault="00EF112F" w:rsidP="00207B14">
      <w:pPr>
        <w:pStyle w:val="NormalWeb"/>
        <w:spacing w:line="276" w:lineRule="auto"/>
        <w:jc w:val="both"/>
        <w:rPr>
          <w:lang w:val="es-ES"/>
        </w:rPr>
      </w:pPr>
      <w:r>
        <w:rPr>
          <w:lang w:val="es-CO"/>
        </w:rPr>
        <w:t xml:space="preserve">A su vez, la SDDE cuenta con “Bogotá Productiva”, </w:t>
      </w:r>
      <w:r w:rsidR="00DD26EB">
        <w:rPr>
          <w:lang w:val="es-CO"/>
        </w:rPr>
        <w:t>un</w:t>
      </w:r>
      <w:r>
        <w:rPr>
          <w:lang w:val="es-CO"/>
        </w:rPr>
        <w:t xml:space="preserve">a plataforma </w:t>
      </w:r>
      <w:r w:rsidR="00DD26EB">
        <w:rPr>
          <w:lang w:val="es-CO"/>
        </w:rPr>
        <w:t xml:space="preserve">de formación modular </w:t>
      </w:r>
      <w:r w:rsidR="00DD26EB" w:rsidRPr="00DD26EB">
        <w:rPr>
          <w:lang w:val="es-CO"/>
        </w:rPr>
        <w:t>diseñad</w:t>
      </w:r>
      <w:r w:rsidR="00B5395F">
        <w:rPr>
          <w:lang w:val="es-CO"/>
        </w:rPr>
        <w:t>a</w:t>
      </w:r>
      <w:r w:rsidR="00DD26EB" w:rsidRPr="00DD26EB">
        <w:rPr>
          <w:lang w:val="es-CO"/>
        </w:rPr>
        <w:t xml:space="preserve"> para el fortalecimiento de </w:t>
      </w:r>
      <w:r w:rsidR="00DD26EB">
        <w:rPr>
          <w:lang w:val="es-CO"/>
        </w:rPr>
        <w:t xml:space="preserve">las habilidades empresariales </w:t>
      </w:r>
      <w:r>
        <w:rPr>
          <w:lang w:val="es-CO"/>
        </w:rPr>
        <w:t xml:space="preserve">de los emprendedores de la ciudad compuesto por tres subprogramas: 1. Academia Bogotá Productiva, dirigido a negocios en etapa temprana de ideación o diseño; 2. Impulso Capital, para la definición de un plan de inversión a la medida, además de un incentivo económico, y 3. Bogotá Corazón Productivo, específicamente para las empresas y unidades productivas </w:t>
      </w:r>
      <w:r w:rsidRPr="00EF112F">
        <w:rPr>
          <w:lang w:val="es-ES"/>
        </w:rPr>
        <w:t>ubicada</w:t>
      </w:r>
      <w:r>
        <w:rPr>
          <w:lang w:val="es-ES"/>
        </w:rPr>
        <w:t>s</w:t>
      </w:r>
      <w:r w:rsidRPr="00EF112F">
        <w:rPr>
          <w:lang w:val="es-ES"/>
        </w:rPr>
        <w:t xml:space="preserve"> en una de las zonas priorizadas por el Distrito (12 de Octubre, 7 de Agosto, Restrepo, San Felipe, La Alquería Venecia, Ricaurte, La Candelaria, La Estrada, Chicó y Usaquén)</w:t>
      </w:r>
      <w:r w:rsidR="00F5225E">
        <w:rPr>
          <w:rStyle w:val="Refdenotaalpie"/>
          <w:lang w:val="es-ES"/>
        </w:rPr>
        <w:footnoteReference w:id="9"/>
      </w:r>
      <w:r>
        <w:rPr>
          <w:lang w:val="es-ES"/>
        </w:rPr>
        <w:t>.</w:t>
      </w:r>
    </w:p>
    <w:p w14:paraId="7BF6D511" w14:textId="51E6FCC6" w:rsidR="00F5225E" w:rsidRDefault="00F5225E" w:rsidP="00207B14">
      <w:pPr>
        <w:pStyle w:val="NormalWeb"/>
        <w:spacing w:line="276" w:lineRule="auto"/>
        <w:jc w:val="both"/>
        <w:rPr>
          <w:lang w:val="es-ES"/>
        </w:rPr>
      </w:pPr>
      <w:r>
        <w:rPr>
          <w:lang w:val="es-ES"/>
        </w:rPr>
        <w:t xml:space="preserve">Sin embargo, </w:t>
      </w:r>
      <w:r w:rsidR="001811CD">
        <w:rPr>
          <w:lang w:val="es-ES"/>
        </w:rPr>
        <w:t xml:space="preserve">en lo referente a los procesos de formación y capacitación en habilidades digitales y financieras, </w:t>
      </w:r>
      <w:r>
        <w:rPr>
          <w:lang w:val="es-ES"/>
        </w:rPr>
        <w:t xml:space="preserve">los resultados del programa “Hecho en Bogotá”, publicados en la evaluación de medio término publicada por la SDDE en febrero de 2024, evidencian carencias </w:t>
      </w:r>
      <w:r w:rsidR="00B5395F">
        <w:rPr>
          <w:lang w:val="es-ES"/>
        </w:rPr>
        <w:t>como la</w:t>
      </w:r>
      <w:r>
        <w:rPr>
          <w:lang w:val="es-ES"/>
        </w:rPr>
        <w:t xml:space="preserve"> falta de recordación </w:t>
      </w:r>
      <w:r w:rsidR="001811CD">
        <w:rPr>
          <w:lang w:val="es-ES"/>
        </w:rPr>
        <w:t>de los conocimientos por parte de los emprendedores y empresarios</w:t>
      </w:r>
      <w:r w:rsidR="001811CD">
        <w:rPr>
          <w:rStyle w:val="Refdenotaalpie"/>
          <w:lang w:val="es-ES"/>
        </w:rPr>
        <w:footnoteReference w:id="10"/>
      </w:r>
      <w:r w:rsidR="001811CD">
        <w:rPr>
          <w:lang w:val="es-ES"/>
        </w:rPr>
        <w:t xml:space="preserve">. Ante la pregunta “¿De qué manera mejoró las finanzas de su emprendimiento o empresa a partir de su participación en Hecho en Bogotá?”, el 27,5% de los 300 emprendimientos encuestados expresó </w:t>
      </w:r>
      <w:r w:rsidR="00B5395F">
        <w:rPr>
          <w:lang w:val="es-ES"/>
        </w:rPr>
        <w:t xml:space="preserve">que </w:t>
      </w:r>
      <w:r w:rsidR="001811CD">
        <w:rPr>
          <w:lang w:val="es-ES"/>
        </w:rPr>
        <w:t>no hubo una mejora en su manejo financiero y solo el 9,5% buscó otras fuentes de financiación después de haber participado en el programa</w:t>
      </w:r>
      <w:r w:rsidR="00BB6C3D">
        <w:rPr>
          <w:lang w:val="es-ES"/>
        </w:rPr>
        <w:t>, por lo cual es necesario</w:t>
      </w:r>
      <w:r w:rsidR="00BB6C3D" w:rsidRPr="00BB6C3D">
        <w:rPr>
          <w:lang w:val="es-ES"/>
        </w:rPr>
        <w:t xml:space="preserve"> </w:t>
      </w:r>
      <w:r w:rsidR="00BB6C3D">
        <w:rPr>
          <w:lang w:val="es-ES"/>
        </w:rPr>
        <w:t>“</w:t>
      </w:r>
      <w:r w:rsidR="00BB6C3D" w:rsidRPr="00BB6C3D">
        <w:rPr>
          <w:lang w:val="es-ES"/>
        </w:rPr>
        <w:t>revisar y ajustar el contenido de los programas de capacitación para asegurar que estén alineados con las demandas del entorno empresarial actual</w:t>
      </w:r>
      <w:r w:rsidR="00BB6C3D">
        <w:rPr>
          <w:lang w:val="es-ES"/>
        </w:rPr>
        <w:t>”</w:t>
      </w:r>
      <w:r w:rsidR="00B5395F">
        <w:rPr>
          <w:rStyle w:val="Refdenotaalpie"/>
          <w:lang w:val="es-ES"/>
        </w:rPr>
        <w:footnoteReference w:id="11"/>
      </w:r>
      <w:r w:rsidR="001811CD">
        <w:rPr>
          <w:lang w:val="es-ES"/>
        </w:rPr>
        <w:t>.</w:t>
      </w:r>
    </w:p>
    <w:p w14:paraId="2BDEFABD" w14:textId="6D0E1266" w:rsidR="001811CD" w:rsidRDefault="001811CD" w:rsidP="0023696D">
      <w:pPr>
        <w:pStyle w:val="NormalWeb"/>
        <w:spacing w:line="276" w:lineRule="auto"/>
        <w:jc w:val="center"/>
        <w:rPr>
          <w:lang w:val="es-CO"/>
        </w:rPr>
      </w:pPr>
      <w:r>
        <w:rPr>
          <w:noProof/>
          <w:lang w:val="es-CO" w:eastAsia="es-CO"/>
        </w:rPr>
        <w:drawing>
          <wp:inline distT="0" distB="0" distL="0" distR="0" wp14:anchorId="4FE4B596" wp14:editId="2D4ABD23">
            <wp:extent cx="4785613" cy="2004109"/>
            <wp:effectExtent l="0" t="0" r="0" b="0"/>
            <wp:docPr id="635552160" name="Picture 1" descr="A graph of blue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552160" name="Picture 1" descr="A graph of blue bars&#10;&#10;AI-generated content may be incorrect."/>
                    <pic:cNvPicPr/>
                  </pic:nvPicPr>
                  <pic:blipFill>
                    <a:blip r:embed="rId13"/>
                    <a:stretch>
                      <a:fillRect/>
                    </a:stretch>
                  </pic:blipFill>
                  <pic:spPr>
                    <a:xfrm>
                      <a:off x="0" y="0"/>
                      <a:ext cx="4811223" cy="2014834"/>
                    </a:xfrm>
                    <a:prstGeom prst="rect">
                      <a:avLst/>
                    </a:prstGeom>
                  </pic:spPr>
                </pic:pic>
              </a:graphicData>
            </a:graphic>
          </wp:inline>
        </w:drawing>
      </w:r>
    </w:p>
    <w:p w14:paraId="3820184B" w14:textId="05F7A291" w:rsidR="001811CD" w:rsidRPr="001811CD" w:rsidRDefault="001811CD" w:rsidP="001811CD">
      <w:pPr>
        <w:spacing w:after="240" w:line="276" w:lineRule="auto"/>
        <w:jc w:val="center"/>
        <w:rPr>
          <w:rFonts w:ascii="Times New Roman" w:hAnsi="Times New Roman"/>
          <w:bCs/>
          <w:sz w:val="18"/>
          <w:szCs w:val="18"/>
        </w:rPr>
      </w:pPr>
      <w:r w:rsidRPr="005C6F2B">
        <w:rPr>
          <w:rFonts w:ascii="Times New Roman" w:hAnsi="Times New Roman"/>
          <w:bCs/>
          <w:sz w:val="18"/>
          <w:szCs w:val="18"/>
        </w:rPr>
        <w:t xml:space="preserve">Fuente: </w:t>
      </w:r>
      <w:r>
        <w:rPr>
          <w:rFonts w:ascii="Times New Roman" w:hAnsi="Times New Roman"/>
          <w:bCs/>
          <w:sz w:val="18"/>
          <w:szCs w:val="18"/>
        </w:rPr>
        <w:t>Secretaría Distrital de Desarrollo Económico, 2024. Cuadernos de Desarrollo Económico: Serie de evaluaciones para el legado de desarrollo económico distrital, pág. 31.</w:t>
      </w:r>
    </w:p>
    <w:p w14:paraId="2193B2C1" w14:textId="51F6C43E" w:rsidR="00BB6C3D" w:rsidRDefault="00BB6C3D" w:rsidP="005C6F2B">
      <w:pPr>
        <w:spacing w:after="240" w:line="276" w:lineRule="auto"/>
        <w:jc w:val="both"/>
        <w:rPr>
          <w:rFonts w:ascii="Times New Roman" w:hAnsi="Times New Roman"/>
          <w:bCs/>
        </w:rPr>
      </w:pPr>
      <w:r>
        <w:rPr>
          <w:rFonts w:ascii="Times New Roman" w:hAnsi="Times New Roman"/>
          <w:bCs/>
        </w:rPr>
        <w:t>Para esto</w:t>
      </w:r>
      <w:r w:rsidR="001811CD">
        <w:rPr>
          <w:rFonts w:ascii="Times New Roman" w:hAnsi="Times New Roman"/>
          <w:bCs/>
        </w:rPr>
        <w:t xml:space="preserve">, </w:t>
      </w:r>
      <w:r>
        <w:rPr>
          <w:rFonts w:ascii="Times New Roman" w:hAnsi="Times New Roman"/>
          <w:bCs/>
        </w:rPr>
        <w:t>dentro de las conclusiones de la evaluación, se recomienda “e</w:t>
      </w:r>
      <w:r w:rsidRPr="00BB6C3D">
        <w:rPr>
          <w:rFonts w:ascii="Times New Roman" w:hAnsi="Times New Roman"/>
          <w:bCs/>
        </w:rPr>
        <w:t xml:space="preserve">xplorar la opción de </w:t>
      </w:r>
      <w:r w:rsidRPr="00B5395F">
        <w:rPr>
          <w:rFonts w:ascii="Times New Roman" w:hAnsi="Times New Roman"/>
          <w:b/>
        </w:rPr>
        <w:t>integrar la formación en el marco de Hecho en Bogotá con la Academia de Bogotá Productiva</w:t>
      </w:r>
      <w:r w:rsidRPr="00BB6C3D">
        <w:rPr>
          <w:rFonts w:ascii="Times New Roman" w:hAnsi="Times New Roman"/>
          <w:bCs/>
        </w:rPr>
        <w:t>. Esto con el objetivo de desarrollar una plataforma de formación y capacitación unificada entre los programas de la ruta de productividad para emprendedores locales de la SDDE.</w:t>
      </w:r>
      <w:r>
        <w:rPr>
          <w:rFonts w:ascii="Times New Roman" w:hAnsi="Times New Roman"/>
          <w:bCs/>
        </w:rPr>
        <w:t>”</w:t>
      </w:r>
      <w:r>
        <w:rPr>
          <w:rStyle w:val="Refdenotaalpie"/>
          <w:rFonts w:ascii="Times New Roman" w:hAnsi="Times New Roman"/>
          <w:bCs/>
        </w:rPr>
        <w:footnoteReference w:id="12"/>
      </w:r>
      <w:r w:rsidRPr="00BB6C3D">
        <w:rPr>
          <w:rFonts w:ascii="Times New Roman" w:hAnsi="Times New Roman"/>
          <w:bCs/>
        </w:rPr>
        <w:t>.</w:t>
      </w:r>
    </w:p>
    <w:p w14:paraId="5CCA1D82" w14:textId="3F10C9A0" w:rsidR="005C6F2B" w:rsidRPr="005C6F2B" w:rsidRDefault="00DC38ED" w:rsidP="005C6F2B">
      <w:pPr>
        <w:spacing w:after="240" w:line="276" w:lineRule="auto"/>
        <w:jc w:val="both"/>
        <w:rPr>
          <w:rFonts w:ascii="Times New Roman" w:hAnsi="Times New Roman"/>
          <w:bCs/>
        </w:rPr>
      </w:pPr>
      <w:r w:rsidRPr="005C6F2B">
        <w:rPr>
          <w:rFonts w:ascii="Times New Roman" w:hAnsi="Times New Roman"/>
          <w:bCs/>
        </w:rPr>
        <w:t xml:space="preserve">Por todo lo anteriormente expuesto, el distrito debe impulsar </w:t>
      </w:r>
      <w:r w:rsidR="00BB6C3D">
        <w:rPr>
          <w:rFonts w:ascii="Times New Roman" w:hAnsi="Times New Roman"/>
          <w:bCs/>
        </w:rPr>
        <w:t>la formación de conocimientos de los empresarios y emprendedores en fuentes</w:t>
      </w:r>
      <w:r w:rsidRPr="005C6F2B">
        <w:rPr>
          <w:rFonts w:ascii="Times New Roman" w:hAnsi="Times New Roman"/>
          <w:bCs/>
        </w:rPr>
        <w:t xml:space="preserve"> financiación en capital</w:t>
      </w:r>
      <w:r w:rsidR="00BB6C3D">
        <w:rPr>
          <w:rFonts w:ascii="Times New Roman" w:hAnsi="Times New Roman"/>
          <w:bCs/>
        </w:rPr>
        <w:t xml:space="preserve"> o deuda</w:t>
      </w:r>
      <w:r w:rsidRPr="005C6F2B">
        <w:rPr>
          <w:rFonts w:ascii="Times New Roman" w:hAnsi="Times New Roman"/>
          <w:bCs/>
        </w:rPr>
        <w:t xml:space="preserve">, según la etapa de la compañía, </w:t>
      </w:r>
      <w:r w:rsidR="00BB6C3D">
        <w:rPr>
          <w:rFonts w:ascii="Times New Roman" w:hAnsi="Times New Roman"/>
          <w:bCs/>
        </w:rPr>
        <w:t>ampliando y fortaleciendo los programas de formación modular de ambas iniciativas.</w:t>
      </w:r>
      <w:r>
        <w:rPr>
          <w:rFonts w:ascii="Times New Roman" w:hAnsi="Times New Roman"/>
          <w:bCs/>
        </w:rPr>
        <w:t xml:space="preserve"> </w:t>
      </w:r>
      <w:r w:rsidR="00D9121F">
        <w:rPr>
          <w:rFonts w:ascii="Times New Roman" w:hAnsi="Times New Roman"/>
          <w:bCs/>
        </w:rPr>
        <w:t>Para esto</w:t>
      </w:r>
      <w:r w:rsidR="005C6F2B" w:rsidRPr="005C6F2B">
        <w:rPr>
          <w:rFonts w:ascii="Times New Roman" w:hAnsi="Times New Roman"/>
          <w:bCs/>
        </w:rPr>
        <w:t>, es pertinente analizar cada uno de los instrumentos de financiación alternativa a la banca tradicional, enfocados en inversión de capital</w:t>
      </w:r>
      <w:r w:rsidR="004E54CC">
        <w:rPr>
          <w:rFonts w:ascii="Times New Roman" w:hAnsi="Times New Roman"/>
          <w:bCs/>
        </w:rPr>
        <w:t>,</w:t>
      </w:r>
      <w:r w:rsidR="005C6F2B" w:rsidRPr="005C6F2B">
        <w:rPr>
          <w:rFonts w:ascii="Times New Roman" w:hAnsi="Times New Roman"/>
          <w:bCs/>
        </w:rPr>
        <w:t xml:space="preserve"> según cada una de las tres etapas de desarrollo de una compañía</w:t>
      </w:r>
      <w:r w:rsidR="00ED7A55">
        <w:rPr>
          <w:rFonts w:ascii="Times New Roman" w:hAnsi="Times New Roman"/>
          <w:bCs/>
        </w:rPr>
        <w:t xml:space="preserve"> de la siguiente manera:</w:t>
      </w:r>
    </w:p>
    <w:p w14:paraId="50DAF811" w14:textId="77777777" w:rsidR="005C6F2B" w:rsidRPr="005C6F2B" w:rsidRDefault="005C6F2B" w:rsidP="005C6F2B">
      <w:pPr>
        <w:spacing w:after="240" w:line="276" w:lineRule="auto"/>
        <w:jc w:val="both"/>
        <w:rPr>
          <w:rFonts w:ascii="Times New Roman" w:hAnsi="Times New Roman"/>
          <w:b/>
          <w:bCs/>
        </w:rPr>
      </w:pPr>
      <w:r w:rsidRPr="005C6F2B">
        <w:rPr>
          <w:rFonts w:ascii="Times New Roman" w:hAnsi="Times New Roman"/>
          <w:b/>
          <w:bCs/>
        </w:rPr>
        <w:t xml:space="preserve">Etapa 1: </w:t>
      </w:r>
      <w:r w:rsidRPr="00D9121F">
        <w:rPr>
          <w:rFonts w:ascii="Times New Roman" w:hAnsi="Times New Roman"/>
          <w:b/>
          <w:bCs/>
        </w:rPr>
        <w:t>Descubrimiento:</w:t>
      </w:r>
    </w:p>
    <w:p w14:paraId="3C298393" w14:textId="7116D1A2" w:rsidR="00C21A97" w:rsidRDefault="005C6F2B" w:rsidP="005C6F2B">
      <w:pPr>
        <w:spacing w:after="240" w:line="276" w:lineRule="auto"/>
        <w:jc w:val="both"/>
        <w:rPr>
          <w:rFonts w:ascii="Times New Roman" w:hAnsi="Times New Roman"/>
          <w:bCs/>
        </w:rPr>
      </w:pPr>
      <w:r w:rsidRPr="005C6F2B">
        <w:rPr>
          <w:rFonts w:ascii="Times New Roman" w:hAnsi="Times New Roman"/>
          <w:bCs/>
        </w:rPr>
        <w:t xml:space="preserve">Los primeros años de existencia de una compañía son los más cruciales debido a su alto riesgo donde, en </w:t>
      </w:r>
      <w:r w:rsidR="00C21A97">
        <w:rPr>
          <w:rFonts w:ascii="Times New Roman" w:hAnsi="Times New Roman"/>
          <w:bCs/>
        </w:rPr>
        <w:t>Bogotá</w:t>
      </w:r>
      <w:r w:rsidRPr="005C6F2B">
        <w:rPr>
          <w:rFonts w:ascii="Times New Roman" w:hAnsi="Times New Roman"/>
          <w:bCs/>
        </w:rPr>
        <w:t xml:space="preserve">, </w:t>
      </w:r>
      <w:r w:rsidR="00C21A97">
        <w:rPr>
          <w:rFonts w:ascii="Times New Roman" w:hAnsi="Times New Roman"/>
          <w:bCs/>
        </w:rPr>
        <w:t xml:space="preserve">para el periodo comprendido entre 2019 y 2025, </w:t>
      </w:r>
      <w:r w:rsidR="00A52B97">
        <w:rPr>
          <w:rFonts w:ascii="Times New Roman" w:hAnsi="Times New Roman"/>
          <w:bCs/>
        </w:rPr>
        <w:t xml:space="preserve">en promedio, </w:t>
      </w:r>
      <w:r w:rsidR="00C21A97">
        <w:rPr>
          <w:rFonts w:ascii="Times New Roman" w:hAnsi="Times New Roman"/>
          <w:bCs/>
        </w:rPr>
        <w:t xml:space="preserve">por cada 10 empresas creadas, </w:t>
      </w:r>
      <w:r w:rsidRPr="005C6F2B">
        <w:rPr>
          <w:rFonts w:ascii="Times New Roman" w:hAnsi="Times New Roman"/>
          <w:bCs/>
        </w:rPr>
        <w:t xml:space="preserve">solo 3 </w:t>
      </w:r>
      <w:r w:rsidR="00C21A97">
        <w:rPr>
          <w:rFonts w:ascii="Times New Roman" w:hAnsi="Times New Roman"/>
          <w:bCs/>
        </w:rPr>
        <w:t>siguen en</w:t>
      </w:r>
      <w:r w:rsidRPr="005C6F2B">
        <w:rPr>
          <w:rFonts w:ascii="Times New Roman" w:hAnsi="Times New Roman"/>
          <w:bCs/>
        </w:rPr>
        <w:t xml:space="preserve"> operación, mientras que las otras 7 </w:t>
      </w:r>
      <w:r w:rsidR="00C21A97">
        <w:rPr>
          <w:rFonts w:ascii="Times New Roman" w:hAnsi="Times New Roman"/>
          <w:bCs/>
        </w:rPr>
        <w:t>quebraron</w:t>
      </w:r>
      <w:r w:rsidRPr="005C6F2B">
        <w:rPr>
          <w:rFonts w:ascii="Times New Roman" w:hAnsi="Times New Roman"/>
          <w:bCs/>
        </w:rPr>
        <w:t xml:space="preserve"> y c</w:t>
      </w:r>
      <w:r w:rsidR="00C21A97">
        <w:rPr>
          <w:rFonts w:ascii="Times New Roman" w:hAnsi="Times New Roman"/>
          <w:bCs/>
        </w:rPr>
        <w:t>e</w:t>
      </w:r>
      <w:r w:rsidRPr="005C6F2B">
        <w:rPr>
          <w:rFonts w:ascii="Times New Roman" w:hAnsi="Times New Roman"/>
          <w:bCs/>
        </w:rPr>
        <w:t>rra</w:t>
      </w:r>
      <w:r w:rsidR="00C21A97">
        <w:rPr>
          <w:rFonts w:ascii="Times New Roman" w:hAnsi="Times New Roman"/>
          <w:bCs/>
        </w:rPr>
        <w:t>ron</w:t>
      </w:r>
      <w:r w:rsidR="00C21A97">
        <w:rPr>
          <w:rStyle w:val="Refdenotaalpie"/>
          <w:rFonts w:ascii="Times New Roman" w:hAnsi="Times New Roman"/>
          <w:bCs/>
        </w:rPr>
        <w:footnoteReference w:id="13"/>
      </w:r>
      <w:r w:rsidRPr="005C6F2B">
        <w:rPr>
          <w:rFonts w:ascii="Times New Roman" w:hAnsi="Times New Roman"/>
          <w:bCs/>
        </w:rPr>
        <w:t>.</w:t>
      </w:r>
    </w:p>
    <w:p w14:paraId="34906C4D" w14:textId="55681B08" w:rsidR="00C21A97" w:rsidRPr="00C21A97" w:rsidRDefault="00C21A97" w:rsidP="00C21A97">
      <w:pPr>
        <w:spacing w:after="240" w:line="276" w:lineRule="auto"/>
        <w:jc w:val="center"/>
        <w:rPr>
          <w:rFonts w:ascii="Times New Roman" w:hAnsi="Times New Roman"/>
          <w:bCs/>
          <w:lang w:val="es-CO"/>
        </w:rPr>
      </w:pPr>
      <w:r>
        <w:rPr>
          <w:rFonts w:ascii="Times New Roman" w:hAnsi="Times New Roman"/>
          <w:bCs/>
          <w:noProof/>
          <w:sz w:val="18"/>
          <w:szCs w:val="18"/>
          <w:lang w:val="es-CO" w:eastAsia="es-CO"/>
        </w:rPr>
        <w:drawing>
          <wp:inline distT="0" distB="0" distL="0" distR="0" wp14:anchorId="2000E219" wp14:editId="093A6742">
            <wp:extent cx="3719401" cy="2236232"/>
            <wp:effectExtent l="0" t="0" r="0" b="0"/>
            <wp:docPr id="14941864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55314" cy="2257824"/>
                    </a:xfrm>
                    <a:prstGeom prst="rect">
                      <a:avLst/>
                    </a:prstGeom>
                    <a:noFill/>
                  </pic:spPr>
                </pic:pic>
              </a:graphicData>
            </a:graphic>
          </wp:inline>
        </w:drawing>
      </w:r>
      <w:r>
        <w:rPr>
          <w:rFonts w:ascii="Times New Roman" w:hAnsi="Times New Roman"/>
          <w:bCs/>
        </w:rPr>
        <w:br/>
      </w:r>
      <w:r w:rsidRPr="005C6F2B">
        <w:rPr>
          <w:rFonts w:ascii="Times New Roman" w:hAnsi="Times New Roman"/>
          <w:bCs/>
          <w:sz w:val="18"/>
          <w:szCs w:val="18"/>
        </w:rPr>
        <w:t>Fuente:</w:t>
      </w:r>
      <w:r>
        <w:rPr>
          <w:rFonts w:ascii="Times New Roman" w:hAnsi="Times New Roman"/>
          <w:bCs/>
          <w:sz w:val="18"/>
          <w:szCs w:val="18"/>
        </w:rPr>
        <w:t xml:space="preserve"> Elaboración propia con datos de </w:t>
      </w:r>
      <w:r w:rsidRPr="00C21A97">
        <w:rPr>
          <w:rFonts w:ascii="Times New Roman" w:hAnsi="Times New Roman"/>
          <w:bCs/>
          <w:sz w:val="18"/>
          <w:szCs w:val="18"/>
        </w:rPr>
        <w:t>Cámara de Comercio de Bogotá. Evolución de las empresas creadas y canceladas entre 2019 y 2024 para el periodo enero – diciembre.</w:t>
      </w:r>
    </w:p>
    <w:p w14:paraId="64BFFD48" w14:textId="5C611D85"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Según lo expone Denis (2004)</w:t>
      </w:r>
      <w:r w:rsidR="00DF1F2C">
        <w:rPr>
          <w:rFonts w:ascii="Times New Roman" w:hAnsi="Times New Roman"/>
          <w:bCs/>
        </w:rPr>
        <w:t>,</w:t>
      </w:r>
      <w:r w:rsidRPr="005C6F2B">
        <w:rPr>
          <w:rFonts w:ascii="Times New Roman" w:hAnsi="Times New Roman"/>
          <w:bCs/>
        </w:rPr>
        <w:t xml:space="preserve"> “en la etapa inicial de desarrollo de un negocio, las fuentes de financiación son limitadas por la asimetría de información entre emprendedores e inversionistas, y por la falta de trayectoria de la empresa que pueda servir como señal sobre su potencial”</w:t>
      </w:r>
      <w:r w:rsidR="00DF1F2C">
        <w:rPr>
          <w:rStyle w:val="Refdenotaalpie"/>
          <w:rFonts w:ascii="Times New Roman" w:hAnsi="Times New Roman"/>
          <w:bCs/>
        </w:rPr>
        <w:footnoteReference w:id="14"/>
      </w:r>
      <w:r w:rsidRPr="005C6F2B">
        <w:rPr>
          <w:rFonts w:ascii="Times New Roman" w:hAnsi="Times New Roman"/>
          <w:bCs/>
        </w:rPr>
        <w:t>. Pese a estos desafíos, el atractivo de estas inversiones radica en el potencial de alto retorno si la empresa logra crecer con éxito, como ha sido el caso de</w:t>
      </w:r>
      <w:r w:rsidR="00C21A97">
        <w:rPr>
          <w:rFonts w:ascii="Times New Roman" w:hAnsi="Times New Roman"/>
          <w:bCs/>
        </w:rPr>
        <w:t xml:space="preserve"> algunas</w:t>
      </w:r>
      <w:r w:rsidRPr="005C6F2B">
        <w:rPr>
          <w:rFonts w:ascii="Times New Roman" w:hAnsi="Times New Roman"/>
          <w:bCs/>
        </w:rPr>
        <w:t xml:space="preserve"> </w:t>
      </w:r>
      <w:r w:rsidR="00ED7A55" w:rsidRPr="00840AF7">
        <w:rPr>
          <w:rFonts w:ascii="Times New Roman" w:hAnsi="Times New Roman"/>
          <w:bCs/>
          <w:i/>
        </w:rPr>
        <w:t>startups</w:t>
      </w:r>
      <w:r w:rsidR="00ED7A55" w:rsidRPr="005C6F2B">
        <w:rPr>
          <w:rFonts w:ascii="Times New Roman" w:hAnsi="Times New Roman"/>
          <w:bCs/>
        </w:rPr>
        <w:t xml:space="preserve"> colombian</w:t>
      </w:r>
      <w:r w:rsidR="00ED7A55">
        <w:rPr>
          <w:rFonts w:ascii="Times New Roman" w:hAnsi="Times New Roman"/>
          <w:bCs/>
        </w:rPr>
        <w:t>a</w:t>
      </w:r>
      <w:r w:rsidR="00ED7A55" w:rsidRPr="005C6F2B">
        <w:rPr>
          <w:rFonts w:ascii="Times New Roman" w:hAnsi="Times New Roman"/>
          <w:bCs/>
        </w:rPr>
        <w:t>s</w:t>
      </w:r>
      <w:r w:rsidRPr="005C6F2B">
        <w:rPr>
          <w:rFonts w:ascii="Times New Roman" w:hAnsi="Times New Roman"/>
          <w:bCs/>
        </w:rPr>
        <w:t xml:space="preserve"> como Rappi, Truora y Habi. En esta etapa, los instrumentos más relevantes son:</w:t>
      </w:r>
    </w:p>
    <w:p w14:paraId="3464904B" w14:textId="77777777" w:rsidR="005C6F2B" w:rsidRPr="005C6F2B" w:rsidRDefault="005C6F2B" w:rsidP="005C6F2B">
      <w:pPr>
        <w:pStyle w:val="Prrafodelista"/>
        <w:numPr>
          <w:ilvl w:val="0"/>
          <w:numId w:val="12"/>
        </w:numPr>
        <w:spacing w:after="240" w:line="276" w:lineRule="auto"/>
        <w:jc w:val="both"/>
        <w:rPr>
          <w:rFonts w:ascii="Times New Roman" w:hAnsi="Times New Roman"/>
          <w:bCs/>
        </w:rPr>
      </w:pPr>
      <w:r w:rsidRPr="005C6F2B">
        <w:rPr>
          <w:rFonts w:ascii="Times New Roman" w:hAnsi="Times New Roman"/>
          <w:bCs/>
        </w:rPr>
        <w:t>Capital Semilla:</w:t>
      </w:r>
    </w:p>
    <w:p w14:paraId="11005E9F" w14:textId="5CABD8F0"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Este tipo de capital es crucial para superar las barreras iniciales de acceso al financiamiento. Según el C</w:t>
      </w:r>
      <w:r w:rsidR="00ED7A55">
        <w:rPr>
          <w:rFonts w:ascii="Times New Roman" w:hAnsi="Times New Roman"/>
          <w:bCs/>
        </w:rPr>
        <w:t xml:space="preserve">oncejo </w:t>
      </w:r>
      <w:r w:rsidRPr="005C6F2B">
        <w:rPr>
          <w:rFonts w:ascii="Times New Roman" w:hAnsi="Times New Roman"/>
          <w:bCs/>
        </w:rPr>
        <w:t>P</w:t>
      </w:r>
      <w:r w:rsidR="00ED7A55">
        <w:rPr>
          <w:rFonts w:ascii="Times New Roman" w:hAnsi="Times New Roman"/>
          <w:bCs/>
        </w:rPr>
        <w:t xml:space="preserve">rivado de </w:t>
      </w:r>
      <w:r w:rsidRPr="005C6F2B">
        <w:rPr>
          <w:rFonts w:ascii="Times New Roman" w:hAnsi="Times New Roman"/>
          <w:bCs/>
        </w:rPr>
        <w:t>C</w:t>
      </w:r>
      <w:r w:rsidR="00ED7A55">
        <w:rPr>
          <w:rFonts w:ascii="Times New Roman" w:hAnsi="Times New Roman"/>
          <w:bCs/>
        </w:rPr>
        <w:t>ompetitividad</w:t>
      </w:r>
      <w:r w:rsidRPr="005C6F2B">
        <w:rPr>
          <w:rFonts w:ascii="Times New Roman" w:hAnsi="Times New Roman"/>
          <w:bCs/>
        </w:rPr>
        <w:t>, “el capital semilla es una fuente importante de financiación al enfrentar la falta de acceso al capital en etapas tempranas del desarrollo empresarial. Menos del 10 % de los emprendedores usaba este mecanismo según la Asociación de Emprendedo</w:t>
      </w:r>
      <w:r w:rsidR="00DF1F2C">
        <w:rPr>
          <w:rFonts w:ascii="Times New Roman" w:hAnsi="Times New Roman"/>
          <w:bCs/>
        </w:rPr>
        <w:t>res de Colombia en el año 2017”</w:t>
      </w:r>
      <w:r w:rsidR="00DF1F2C">
        <w:rPr>
          <w:rStyle w:val="Refdenotaalpie"/>
          <w:rFonts w:ascii="Times New Roman" w:hAnsi="Times New Roman"/>
          <w:bCs/>
        </w:rPr>
        <w:footnoteReference w:id="15"/>
      </w:r>
      <w:r w:rsidR="00DF1F2C">
        <w:rPr>
          <w:rFonts w:ascii="Times New Roman" w:hAnsi="Times New Roman"/>
          <w:bCs/>
        </w:rPr>
        <w:t xml:space="preserve">. </w:t>
      </w:r>
      <w:r w:rsidRPr="005C6F2B">
        <w:rPr>
          <w:rFonts w:ascii="Times New Roman" w:hAnsi="Times New Roman"/>
          <w:bCs/>
        </w:rPr>
        <w:t xml:space="preserve">En </w:t>
      </w:r>
      <w:r w:rsidR="00567225">
        <w:rPr>
          <w:rFonts w:ascii="Times New Roman" w:hAnsi="Times New Roman"/>
          <w:bCs/>
        </w:rPr>
        <w:t>Bogotá</w:t>
      </w:r>
      <w:r w:rsidRPr="005C6F2B">
        <w:rPr>
          <w:rFonts w:ascii="Times New Roman" w:hAnsi="Times New Roman"/>
          <w:bCs/>
        </w:rPr>
        <w:t xml:space="preserve">, las principales fuentes de capital semilla son programas públicos como el Fondo Emprender (FE), administrado por el SENA, y </w:t>
      </w:r>
      <w:r w:rsidR="00567225">
        <w:rPr>
          <w:rFonts w:ascii="Times New Roman" w:hAnsi="Times New Roman"/>
          <w:bCs/>
        </w:rPr>
        <w:t>los</w:t>
      </w:r>
      <w:r w:rsidRPr="005C6F2B">
        <w:rPr>
          <w:rFonts w:ascii="Times New Roman" w:hAnsi="Times New Roman"/>
          <w:bCs/>
        </w:rPr>
        <w:t xml:space="preserve"> programa</w:t>
      </w:r>
      <w:r w:rsidR="00567225">
        <w:rPr>
          <w:rFonts w:ascii="Times New Roman" w:hAnsi="Times New Roman"/>
          <w:bCs/>
        </w:rPr>
        <w:t>s</w:t>
      </w:r>
      <w:r w:rsidRPr="005C6F2B">
        <w:rPr>
          <w:rFonts w:ascii="Times New Roman" w:hAnsi="Times New Roman"/>
          <w:bCs/>
        </w:rPr>
        <w:t xml:space="preserve"> Aldea</w:t>
      </w:r>
      <w:r w:rsidR="00567225">
        <w:rPr>
          <w:rFonts w:ascii="Times New Roman" w:hAnsi="Times New Roman"/>
          <w:bCs/>
        </w:rPr>
        <w:t xml:space="preserve"> y CEmprende</w:t>
      </w:r>
      <w:r w:rsidRPr="005C6F2B">
        <w:rPr>
          <w:rFonts w:ascii="Times New Roman" w:hAnsi="Times New Roman"/>
          <w:bCs/>
        </w:rPr>
        <w:t xml:space="preserve"> de iNNpulsa.</w:t>
      </w:r>
    </w:p>
    <w:p w14:paraId="563AB747" w14:textId="77777777" w:rsidR="005C6F2B" w:rsidRPr="005C6F2B" w:rsidRDefault="005C6F2B" w:rsidP="005C6F2B">
      <w:pPr>
        <w:pStyle w:val="Prrafodelista"/>
        <w:numPr>
          <w:ilvl w:val="0"/>
          <w:numId w:val="12"/>
        </w:numPr>
        <w:spacing w:after="240" w:line="276" w:lineRule="auto"/>
        <w:jc w:val="both"/>
        <w:rPr>
          <w:rFonts w:ascii="Times New Roman" w:hAnsi="Times New Roman"/>
          <w:bCs/>
        </w:rPr>
      </w:pPr>
      <w:r w:rsidRPr="005C6F2B">
        <w:rPr>
          <w:rFonts w:ascii="Times New Roman" w:hAnsi="Times New Roman"/>
          <w:bCs/>
        </w:rPr>
        <w:t>Ángeles inversionistas:</w:t>
      </w:r>
    </w:p>
    <w:p w14:paraId="2595FD81" w14:textId="5AC4C4E3"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Por su parte, las redes de ángeles inversionistas también s</w:t>
      </w:r>
      <w:r w:rsidR="00840AF7">
        <w:rPr>
          <w:rFonts w:ascii="Times New Roman" w:hAnsi="Times New Roman"/>
          <w:bCs/>
        </w:rPr>
        <w:t xml:space="preserve">on un canal clave en esta etapa donde los emprendedores, además de recursos, también requieren </w:t>
      </w:r>
      <w:r w:rsidR="00ED7A55">
        <w:rPr>
          <w:rFonts w:ascii="Times New Roman" w:hAnsi="Times New Roman"/>
          <w:bCs/>
        </w:rPr>
        <w:t>mentorí</w:t>
      </w:r>
      <w:r w:rsidR="00ED7A55" w:rsidRPr="005C6F2B">
        <w:rPr>
          <w:rFonts w:ascii="Times New Roman" w:hAnsi="Times New Roman"/>
          <w:bCs/>
        </w:rPr>
        <w:t>a</w:t>
      </w:r>
      <w:r w:rsidRPr="005C6F2B">
        <w:rPr>
          <w:rFonts w:ascii="Times New Roman" w:hAnsi="Times New Roman"/>
          <w:bCs/>
        </w:rPr>
        <w:t xml:space="preserve"> y acceso a redes</w:t>
      </w:r>
      <w:r w:rsidR="00ED7A55">
        <w:rPr>
          <w:rFonts w:ascii="Times New Roman" w:hAnsi="Times New Roman"/>
          <w:bCs/>
        </w:rPr>
        <w:t xml:space="preserve"> de contactos</w:t>
      </w:r>
      <w:r w:rsidRPr="005C6F2B">
        <w:rPr>
          <w:rFonts w:ascii="Times New Roman" w:hAnsi="Times New Roman"/>
          <w:bCs/>
        </w:rPr>
        <w:t>. “En Colombia están en funcionamiento seis redes de ángeles inversionistas, entre las que se incluyen las de Fundación Bolívar Davivienda, Starco, Xcala, HubBOG, Créame y Bictia Angels”</w:t>
      </w:r>
      <w:r w:rsidR="00DF1F2C">
        <w:rPr>
          <w:rStyle w:val="Refdenotaalpie"/>
          <w:rFonts w:ascii="Times New Roman" w:hAnsi="Times New Roman"/>
          <w:bCs/>
        </w:rPr>
        <w:footnoteReference w:id="16"/>
      </w:r>
      <w:r w:rsidR="00DF1F2C">
        <w:rPr>
          <w:rFonts w:ascii="Times New Roman" w:hAnsi="Times New Roman"/>
          <w:bCs/>
        </w:rPr>
        <w:t>.</w:t>
      </w:r>
      <w:r w:rsidR="00567225">
        <w:rPr>
          <w:rFonts w:ascii="Times New Roman" w:hAnsi="Times New Roman"/>
          <w:bCs/>
        </w:rPr>
        <w:t xml:space="preserve"> Por su parte, la Cámara de Comercio de Bogotá lidera la Red de Inversionistas </w:t>
      </w:r>
      <w:r w:rsidR="0092003E">
        <w:rPr>
          <w:rFonts w:ascii="Times New Roman" w:hAnsi="Times New Roman"/>
          <w:bCs/>
        </w:rPr>
        <w:t>que busca reducir la brecha de inversión en emprendimientos de alto potencial de crecimiento en la ciudad, conectando el capital inteligente con los emprendedores</w:t>
      </w:r>
      <w:r w:rsidR="0092003E">
        <w:rPr>
          <w:rStyle w:val="Refdenotaalpie"/>
          <w:rFonts w:ascii="Times New Roman" w:hAnsi="Times New Roman"/>
          <w:bCs/>
        </w:rPr>
        <w:footnoteReference w:id="17"/>
      </w:r>
      <w:r w:rsidR="00A52B97">
        <w:rPr>
          <w:rFonts w:ascii="Times New Roman" w:hAnsi="Times New Roman"/>
          <w:bCs/>
        </w:rPr>
        <w:t xml:space="preserve">. </w:t>
      </w:r>
      <w:r w:rsidRPr="005C6F2B">
        <w:rPr>
          <w:rFonts w:ascii="Times New Roman" w:hAnsi="Times New Roman"/>
          <w:bCs/>
        </w:rPr>
        <w:t>No obstante, el mercado aún es incipiente: “solo 10 % de estos inversionistas en etapa temprana tienen más de diez años de experiencia, mientras que más del 60 % tiene una experiencia entre uno y cuatro años”</w:t>
      </w:r>
      <w:r w:rsidR="00DF1F2C">
        <w:rPr>
          <w:rStyle w:val="Refdenotaalpie"/>
          <w:rFonts w:ascii="Times New Roman" w:hAnsi="Times New Roman"/>
          <w:bCs/>
        </w:rPr>
        <w:footnoteReference w:id="18"/>
      </w:r>
      <w:r w:rsidR="000F1A69">
        <w:rPr>
          <w:rFonts w:ascii="Times New Roman" w:hAnsi="Times New Roman"/>
          <w:bCs/>
        </w:rPr>
        <w:t>.</w:t>
      </w:r>
    </w:p>
    <w:p w14:paraId="062B081F" w14:textId="77777777"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
          <w:bCs/>
        </w:rPr>
        <w:t>Etapa 2:</w:t>
      </w:r>
      <w:r w:rsidRPr="005C6F2B">
        <w:rPr>
          <w:rFonts w:ascii="Times New Roman" w:hAnsi="Times New Roman"/>
          <w:bCs/>
        </w:rPr>
        <w:t xml:space="preserve"> </w:t>
      </w:r>
      <w:r w:rsidRPr="00D9121F">
        <w:rPr>
          <w:rFonts w:ascii="Times New Roman" w:hAnsi="Times New Roman"/>
          <w:b/>
          <w:bCs/>
        </w:rPr>
        <w:t>Crecimiento Inicial y Crecimiento Acelerado:</w:t>
      </w:r>
    </w:p>
    <w:p w14:paraId="3BE340F6" w14:textId="49C229AE"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Con la validación de mercado alcanzada, las empresas en crecimiento buscan escalar sus operaciones y fortalecer sus procesos</w:t>
      </w:r>
      <w:r w:rsidR="000F1A69">
        <w:rPr>
          <w:rStyle w:val="Refdenotaalpie"/>
          <w:rFonts w:ascii="Times New Roman" w:hAnsi="Times New Roman"/>
          <w:bCs/>
        </w:rPr>
        <w:footnoteReference w:id="19"/>
      </w:r>
      <w:r w:rsidRPr="005C6F2B">
        <w:rPr>
          <w:rFonts w:ascii="Times New Roman" w:hAnsi="Times New Roman"/>
          <w:bCs/>
        </w:rPr>
        <w:t xml:space="preserve">. </w:t>
      </w:r>
      <w:r w:rsidR="00840AF7" w:rsidRPr="005C6F2B">
        <w:rPr>
          <w:rFonts w:ascii="Times New Roman" w:hAnsi="Times New Roman"/>
          <w:bCs/>
        </w:rPr>
        <w:t>En esta fase se amplía el abanico de fuentes de financiación a través de vehículos más estructurados como los Fondos de Capital Privado (FCP), los Fondos de Capital Emprendedor o de Impacto, y los Fondos de Deuda Privada.</w:t>
      </w:r>
    </w:p>
    <w:p w14:paraId="184003F2" w14:textId="77777777" w:rsidR="005C6F2B" w:rsidRPr="005C6F2B" w:rsidRDefault="005C6F2B" w:rsidP="005C6F2B">
      <w:pPr>
        <w:pStyle w:val="Prrafodelista"/>
        <w:numPr>
          <w:ilvl w:val="0"/>
          <w:numId w:val="13"/>
        </w:numPr>
        <w:spacing w:after="240" w:line="276" w:lineRule="auto"/>
        <w:jc w:val="both"/>
        <w:rPr>
          <w:rFonts w:ascii="Times New Roman" w:hAnsi="Times New Roman"/>
          <w:bCs/>
        </w:rPr>
      </w:pPr>
      <w:r w:rsidRPr="005C6F2B">
        <w:rPr>
          <w:rFonts w:ascii="Times New Roman" w:hAnsi="Times New Roman"/>
          <w:bCs/>
        </w:rPr>
        <w:t>Fondos de Capital Privado:</w:t>
      </w:r>
    </w:p>
    <w:p w14:paraId="6AE427F0" w14:textId="77777777"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El capital privado (</w:t>
      </w:r>
      <w:r w:rsidRPr="00840AF7">
        <w:rPr>
          <w:rFonts w:ascii="Times New Roman" w:hAnsi="Times New Roman"/>
          <w:bCs/>
          <w:i/>
        </w:rPr>
        <w:t>Private Equity</w:t>
      </w:r>
      <w:r w:rsidRPr="005C6F2B">
        <w:rPr>
          <w:rFonts w:ascii="Times New Roman" w:hAnsi="Times New Roman"/>
          <w:bCs/>
        </w:rPr>
        <w:t xml:space="preserve"> PE) consiste en la inversión de recursos a empresas que no cuentan con acciones en el mercado bursátil, a través de un fondo, con el propósito de multiplicar su valor y tener retornos de mediano y largo plazo para sus inversionistas.</w:t>
      </w:r>
    </w:p>
    <w:p w14:paraId="4DDD17E6" w14:textId="5E18852B"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 xml:space="preserve">La industria de Capital Privado </w:t>
      </w:r>
      <w:r w:rsidR="00840AF7">
        <w:rPr>
          <w:rFonts w:ascii="Times New Roman" w:hAnsi="Times New Roman"/>
          <w:bCs/>
        </w:rPr>
        <w:t xml:space="preserve">en Colombia </w:t>
      </w:r>
      <w:r w:rsidRPr="005C6F2B">
        <w:rPr>
          <w:rFonts w:ascii="Times New Roman" w:hAnsi="Times New Roman"/>
          <w:bCs/>
        </w:rPr>
        <w:t>“ha ganado importancia por el impacto que tiene a través del crecimiento y desarrollo de activos, así como por la contribución a la creación de empleo en el país”</w:t>
      </w:r>
      <w:r w:rsidR="000F1A69">
        <w:rPr>
          <w:rStyle w:val="Refdenotaalpie"/>
          <w:rFonts w:ascii="Times New Roman" w:hAnsi="Times New Roman"/>
          <w:bCs/>
        </w:rPr>
        <w:footnoteReference w:id="20"/>
      </w:r>
      <w:r w:rsidRPr="005C6F2B">
        <w:rPr>
          <w:rFonts w:ascii="Times New Roman" w:hAnsi="Times New Roman"/>
          <w:bCs/>
        </w:rPr>
        <w:t xml:space="preserve">, pasando de </w:t>
      </w:r>
      <w:r w:rsidR="0092003E">
        <w:rPr>
          <w:rFonts w:ascii="Times New Roman" w:hAnsi="Times New Roman"/>
          <w:bCs/>
        </w:rPr>
        <w:t>107</w:t>
      </w:r>
      <w:r w:rsidRPr="005C6F2B">
        <w:rPr>
          <w:rFonts w:ascii="Times New Roman" w:hAnsi="Times New Roman"/>
          <w:bCs/>
        </w:rPr>
        <w:t xml:space="preserve"> fondos en 201</w:t>
      </w:r>
      <w:r w:rsidR="0092003E">
        <w:rPr>
          <w:rFonts w:ascii="Times New Roman" w:hAnsi="Times New Roman"/>
          <w:bCs/>
        </w:rPr>
        <w:t>4</w:t>
      </w:r>
      <w:r w:rsidRPr="005C6F2B">
        <w:rPr>
          <w:rFonts w:ascii="Times New Roman" w:hAnsi="Times New Roman"/>
          <w:bCs/>
        </w:rPr>
        <w:t xml:space="preserve"> a </w:t>
      </w:r>
      <w:r w:rsidR="0092003E">
        <w:rPr>
          <w:rFonts w:ascii="Times New Roman" w:hAnsi="Times New Roman"/>
          <w:bCs/>
        </w:rPr>
        <w:t>375</w:t>
      </w:r>
      <w:r w:rsidRPr="005C6F2B">
        <w:rPr>
          <w:rFonts w:ascii="Times New Roman" w:hAnsi="Times New Roman"/>
          <w:bCs/>
        </w:rPr>
        <w:t xml:space="preserve"> en 202</w:t>
      </w:r>
      <w:r w:rsidR="0092003E">
        <w:rPr>
          <w:rFonts w:ascii="Times New Roman" w:hAnsi="Times New Roman"/>
          <w:bCs/>
        </w:rPr>
        <w:t>4</w:t>
      </w:r>
      <w:r w:rsidR="00A7632C">
        <w:rPr>
          <w:rFonts w:ascii="Times New Roman" w:hAnsi="Times New Roman"/>
          <w:bCs/>
        </w:rPr>
        <w:t>,</w:t>
      </w:r>
      <w:r w:rsidRPr="005C6F2B">
        <w:rPr>
          <w:rFonts w:ascii="Times New Roman" w:hAnsi="Times New Roman"/>
          <w:bCs/>
        </w:rPr>
        <w:t xml:space="preserve"> con compromisos por USD 2</w:t>
      </w:r>
      <w:r w:rsidR="0092003E">
        <w:rPr>
          <w:rFonts w:ascii="Times New Roman" w:hAnsi="Times New Roman"/>
          <w:bCs/>
        </w:rPr>
        <w:t>8</w:t>
      </w:r>
      <w:r w:rsidRPr="005C6F2B">
        <w:rPr>
          <w:rFonts w:ascii="Times New Roman" w:hAnsi="Times New Roman"/>
          <w:bCs/>
        </w:rPr>
        <w:t>.</w:t>
      </w:r>
      <w:r w:rsidR="0092003E">
        <w:rPr>
          <w:rFonts w:ascii="Times New Roman" w:hAnsi="Times New Roman"/>
          <w:bCs/>
        </w:rPr>
        <w:t>418</w:t>
      </w:r>
      <w:r w:rsidRPr="005C6F2B">
        <w:rPr>
          <w:rFonts w:ascii="Times New Roman" w:hAnsi="Times New Roman"/>
          <w:bCs/>
        </w:rPr>
        <w:t xml:space="preserve"> millones</w:t>
      </w:r>
      <w:r w:rsidR="0092003E">
        <w:rPr>
          <w:rFonts w:ascii="Times New Roman" w:hAnsi="Times New Roman"/>
          <w:bCs/>
        </w:rPr>
        <w:t xml:space="preserve"> distribuidos en más de 1.641</w:t>
      </w:r>
      <w:r w:rsidR="00312AFA">
        <w:rPr>
          <w:rFonts w:ascii="Times New Roman" w:hAnsi="Times New Roman"/>
          <w:bCs/>
        </w:rPr>
        <w:t xml:space="preserve"> activos</w:t>
      </w:r>
      <w:r w:rsidR="00312AFA">
        <w:rPr>
          <w:rStyle w:val="Refdenotaalpie"/>
          <w:rFonts w:ascii="Times New Roman" w:hAnsi="Times New Roman"/>
          <w:bCs/>
        </w:rPr>
        <w:footnoteReference w:id="21"/>
      </w:r>
      <w:r w:rsidRPr="005C6F2B">
        <w:rPr>
          <w:rFonts w:ascii="Times New Roman" w:hAnsi="Times New Roman"/>
          <w:bCs/>
        </w:rPr>
        <w:t xml:space="preserve">. </w:t>
      </w:r>
      <w:r w:rsidR="00A52B97" w:rsidRPr="00470E60">
        <w:rPr>
          <w:rFonts w:ascii="Times New Roman" w:hAnsi="Times New Roman"/>
          <w:bCs/>
        </w:rPr>
        <w:t>De estos, Bogotá</w:t>
      </w:r>
      <w:r w:rsidR="00312AFA">
        <w:rPr>
          <w:rFonts w:ascii="Times New Roman" w:hAnsi="Times New Roman"/>
          <w:bCs/>
        </w:rPr>
        <w:t>-Región concentra el 41%</w:t>
      </w:r>
      <w:r w:rsidR="00470E60">
        <w:rPr>
          <w:rFonts w:ascii="Times New Roman" w:hAnsi="Times New Roman"/>
          <w:bCs/>
        </w:rPr>
        <w:t>, consolidándose como el epicentro de estas inversiones</w:t>
      </w:r>
      <w:r w:rsidR="00470E60">
        <w:rPr>
          <w:rStyle w:val="Refdenotaalpie"/>
          <w:rFonts w:ascii="Times New Roman" w:hAnsi="Times New Roman"/>
          <w:bCs/>
        </w:rPr>
        <w:footnoteReference w:id="22"/>
      </w:r>
      <w:r w:rsidR="00A52B97">
        <w:rPr>
          <w:rFonts w:ascii="Times New Roman" w:hAnsi="Times New Roman"/>
          <w:bCs/>
        </w:rPr>
        <w:t xml:space="preserve">. </w:t>
      </w:r>
      <w:r w:rsidRPr="005C6F2B">
        <w:rPr>
          <w:rFonts w:ascii="Times New Roman" w:hAnsi="Times New Roman"/>
          <w:bCs/>
        </w:rPr>
        <w:t>“Esta inyección de recursos, vía capital o deuda, contribuye al desarrollo y crecimiento de pequeñas, medianas y grandes empresas o proyectos con operacio</w:t>
      </w:r>
      <w:r w:rsidR="000F1A69">
        <w:rPr>
          <w:rFonts w:ascii="Times New Roman" w:hAnsi="Times New Roman"/>
          <w:bCs/>
        </w:rPr>
        <w:t>nes en Colombia y en la región”</w:t>
      </w:r>
      <w:r w:rsidR="000F1A69">
        <w:rPr>
          <w:rStyle w:val="Refdenotaalpie"/>
          <w:rFonts w:ascii="Times New Roman" w:hAnsi="Times New Roman"/>
          <w:bCs/>
        </w:rPr>
        <w:footnoteReference w:id="23"/>
      </w:r>
      <w:r w:rsidR="000F1A69">
        <w:rPr>
          <w:rFonts w:ascii="Times New Roman" w:hAnsi="Times New Roman"/>
          <w:bCs/>
        </w:rPr>
        <w:t>.</w:t>
      </w:r>
    </w:p>
    <w:p w14:paraId="1BAD2B09" w14:textId="5D58AC1E" w:rsidR="00F90F6B" w:rsidRPr="00F90F6B" w:rsidRDefault="005C6F2B" w:rsidP="00F90F6B">
      <w:pPr>
        <w:spacing w:after="240" w:line="276" w:lineRule="auto"/>
        <w:jc w:val="center"/>
        <w:rPr>
          <w:rFonts w:ascii="Times New Roman" w:hAnsi="Times New Roman"/>
          <w:b/>
          <w:bCs/>
        </w:rPr>
      </w:pPr>
      <w:r w:rsidRPr="005C6F2B">
        <w:rPr>
          <w:rFonts w:ascii="Times New Roman" w:hAnsi="Times New Roman"/>
          <w:b/>
          <w:bCs/>
        </w:rPr>
        <w:t>Evolución de los Fondos de Capital Privado en Colombia</w:t>
      </w:r>
    </w:p>
    <w:p w14:paraId="08F55892" w14:textId="67434B50" w:rsidR="005C6F2B" w:rsidRPr="005C6F2B" w:rsidRDefault="00F90F6B" w:rsidP="005C6F2B">
      <w:pPr>
        <w:spacing w:after="240" w:line="276" w:lineRule="auto"/>
        <w:jc w:val="center"/>
        <w:rPr>
          <w:rFonts w:ascii="Times New Roman" w:hAnsi="Times New Roman"/>
          <w:bCs/>
        </w:rPr>
      </w:pPr>
      <w:r>
        <w:rPr>
          <w:noProof/>
          <w:lang w:val="es-CO" w:eastAsia="es-CO"/>
        </w:rPr>
        <w:drawing>
          <wp:inline distT="0" distB="0" distL="0" distR="0" wp14:anchorId="62301792" wp14:editId="477BE2D7">
            <wp:extent cx="4564852" cy="1861219"/>
            <wp:effectExtent l="0" t="0" r="7620" b="5715"/>
            <wp:docPr id="756628629" name="Picture 1" descr="A graph of growth with numbers and a nu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628629" name="Picture 1" descr="A graph of growth with numbers and a number"/>
                    <pic:cNvPicPr/>
                  </pic:nvPicPr>
                  <pic:blipFill rotWithShape="1">
                    <a:blip r:embed="rId15"/>
                    <a:srcRect l="3393"/>
                    <a:stretch>
                      <a:fillRect/>
                    </a:stretch>
                  </pic:blipFill>
                  <pic:spPr bwMode="auto">
                    <a:xfrm>
                      <a:off x="0" y="0"/>
                      <a:ext cx="4588054" cy="1870679"/>
                    </a:xfrm>
                    <a:prstGeom prst="rect">
                      <a:avLst/>
                    </a:prstGeom>
                    <a:ln>
                      <a:noFill/>
                    </a:ln>
                    <a:extLst>
                      <a:ext uri="{53640926-AAD7-44D8-BBD7-CCE9431645EC}">
                        <a14:shadowObscured xmlns:a14="http://schemas.microsoft.com/office/drawing/2010/main"/>
                      </a:ext>
                    </a:extLst>
                  </pic:spPr>
                </pic:pic>
              </a:graphicData>
            </a:graphic>
          </wp:inline>
        </w:drawing>
      </w:r>
    </w:p>
    <w:p w14:paraId="4753950E" w14:textId="2AA9D5AD" w:rsidR="005C6F2B" w:rsidRPr="005C6F2B" w:rsidRDefault="005C6F2B" w:rsidP="005C6F2B">
      <w:pPr>
        <w:spacing w:after="240" w:line="276" w:lineRule="auto"/>
        <w:jc w:val="center"/>
        <w:rPr>
          <w:rFonts w:ascii="Times New Roman" w:hAnsi="Times New Roman"/>
          <w:bCs/>
          <w:sz w:val="18"/>
          <w:szCs w:val="18"/>
        </w:rPr>
      </w:pPr>
      <w:r w:rsidRPr="005C6F2B">
        <w:rPr>
          <w:rFonts w:ascii="Times New Roman" w:hAnsi="Times New Roman"/>
          <w:bCs/>
          <w:sz w:val="18"/>
          <w:szCs w:val="18"/>
        </w:rPr>
        <w:t>Fuente: ColCapital (202</w:t>
      </w:r>
      <w:r w:rsidR="00F90F6B">
        <w:rPr>
          <w:rFonts w:ascii="Times New Roman" w:hAnsi="Times New Roman"/>
          <w:bCs/>
          <w:sz w:val="18"/>
          <w:szCs w:val="18"/>
        </w:rPr>
        <w:t>5</w:t>
      </w:r>
      <w:r w:rsidRPr="005C6F2B">
        <w:rPr>
          <w:rFonts w:ascii="Times New Roman" w:hAnsi="Times New Roman"/>
          <w:bCs/>
          <w:sz w:val="18"/>
          <w:szCs w:val="18"/>
        </w:rPr>
        <w:t>). Industria de Capital Privado en Colombia. Reporte 202</w:t>
      </w:r>
      <w:r w:rsidR="00F90F6B">
        <w:rPr>
          <w:rFonts w:ascii="Times New Roman" w:hAnsi="Times New Roman"/>
          <w:bCs/>
          <w:sz w:val="18"/>
          <w:szCs w:val="18"/>
        </w:rPr>
        <w:t>4</w:t>
      </w:r>
      <w:r w:rsidRPr="005C6F2B">
        <w:rPr>
          <w:rFonts w:ascii="Times New Roman" w:hAnsi="Times New Roman"/>
          <w:bCs/>
          <w:sz w:val="18"/>
          <w:szCs w:val="18"/>
        </w:rPr>
        <w:t>-202</w:t>
      </w:r>
      <w:r w:rsidR="00F90F6B">
        <w:rPr>
          <w:rFonts w:ascii="Times New Roman" w:hAnsi="Times New Roman"/>
          <w:bCs/>
          <w:sz w:val="18"/>
          <w:szCs w:val="18"/>
        </w:rPr>
        <w:t>5</w:t>
      </w:r>
      <w:r w:rsidRPr="005C6F2B">
        <w:rPr>
          <w:rFonts w:ascii="Times New Roman" w:hAnsi="Times New Roman"/>
          <w:bCs/>
          <w:sz w:val="18"/>
          <w:szCs w:val="18"/>
        </w:rPr>
        <w:t>, pág. 36.</w:t>
      </w:r>
    </w:p>
    <w:p w14:paraId="6C8A26E1" w14:textId="77777777"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Además de la inversión monetaria, la industria del capital privado se ejerce bajo una lógica de acompañamiento y tutoría en el desarrollo empresarial para el crecimiento de valor de la compañía, lo cual puede enriquecer los conocimientos de los empresarios colombianos según las experiencias internacionales de los gestores. “Además de canalizar capital, estos vehículos han impulsado los planes de negocios de estos activos para que, además de ser rentables, sean compatibles con las necesidades actuales de innovación, s</w:t>
      </w:r>
      <w:r w:rsidR="000F1A69">
        <w:rPr>
          <w:rFonts w:ascii="Times New Roman" w:hAnsi="Times New Roman"/>
          <w:bCs/>
        </w:rPr>
        <w:t>ostenibilidad y competitividad</w:t>
      </w:r>
      <w:r w:rsidR="000F1A69">
        <w:rPr>
          <w:rStyle w:val="Refdenotaalpie"/>
          <w:rFonts w:ascii="Times New Roman" w:hAnsi="Times New Roman"/>
          <w:bCs/>
        </w:rPr>
        <w:footnoteReference w:id="24"/>
      </w:r>
      <w:r w:rsidRPr="005C6F2B">
        <w:rPr>
          <w:rFonts w:ascii="Times New Roman" w:hAnsi="Times New Roman"/>
          <w:bCs/>
        </w:rPr>
        <w:t>.</w:t>
      </w:r>
    </w:p>
    <w:p w14:paraId="0B027C0E" w14:textId="77777777" w:rsidR="005C6F2B" w:rsidRPr="005C6F2B" w:rsidRDefault="005C6F2B" w:rsidP="005C6F2B">
      <w:pPr>
        <w:pStyle w:val="Prrafodelista"/>
        <w:numPr>
          <w:ilvl w:val="0"/>
          <w:numId w:val="13"/>
        </w:numPr>
        <w:spacing w:after="240" w:line="276" w:lineRule="auto"/>
        <w:jc w:val="both"/>
        <w:rPr>
          <w:rFonts w:ascii="Times New Roman" w:hAnsi="Times New Roman"/>
          <w:bCs/>
        </w:rPr>
      </w:pPr>
      <w:r w:rsidRPr="005C6F2B">
        <w:rPr>
          <w:rFonts w:ascii="Times New Roman" w:hAnsi="Times New Roman"/>
          <w:bCs/>
        </w:rPr>
        <w:t>Fondos de Capital Emprendedor y Fondos de Impacto:</w:t>
      </w:r>
    </w:p>
    <w:p w14:paraId="795DD15E" w14:textId="6B037D9D"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Este tipo de fondos se crean con un objetivo de utilidad financiera, pero también centrados en resultados sociales que definen el éxito del proyecto, lo cual puede traer grandes beneficios para l</w:t>
      </w:r>
      <w:r w:rsidR="00A52B97">
        <w:rPr>
          <w:rFonts w:ascii="Times New Roman" w:hAnsi="Times New Roman"/>
          <w:bCs/>
        </w:rPr>
        <w:t>os habitantes de Bogotá</w:t>
      </w:r>
      <w:r w:rsidRPr="005C6F2B">
        <w:rPr>
          <w:rFonts w:ascii="Times New Roman" w:hAnsi="Times New Roman"/>
          <w:bCs/>
        </w:rPr>
        <w:t>, más allá de la generación de empleo. Sin embargo, “conseguir capital en Colombia es uno de los desafíos más grandes para los fondos de capital emprendedor porque el dinero usualmente se va a vehícu</w:t>
      </w:r>
      <w:r w:rsidR="000F1A69">
        <w:rPr>
          <w:rFonts w:ascii="Times New Roman" w:hAnsi="Times New Roman"/>
          <w:bCs/>
        </w:rPr>
        <w:t>los tradicionales de inversión”</w:t>
      </w:r>
      <w:r w:rsidR="000F1A69">
        <w:rPr>
          <w:rStyle w:val="Refdenotaalpie"/>
          <w:rFonts w:ascii="Times New Roman" w:hAnsi="Times New Roman"/>
          <w:bCs/>
        </w:rPr>
        <w:footnoteReference w:id="25"/>
      </w:r>
      <w:r w:rsidR="000F1A69">
        <w:rPr>
          <w:rFonts w:ascii="Times New Roman" w:hAnsi="Times New Roman"/>
          <w:bCs/>
        </w:rPr>
        <w:t>.</w:t>
      </w:r>
      <w:r w:rsidR="00A52B97">
        <w:rPr>
          <w:rFonts w:ascii="Times New Roman" w:hAnsi="Times New Roman"/>
          <w:bCs/>
        </w:rPr>
        <w:t xml:space="preserve"> Por lo tanto, es necesario que Bogotá, como centro financiero y económico, marque la diferencia y fomente la inversión de recursos a través de estos vehículos</w:t>
      </w:r>
      <w:r w:rsidR="007A3B80">
        <w:rPr>
          <w:rFonts w:ascii="Times New Roman" w:hAnsi="Times New Roman"/>
          <w:bCs/>
        </w:rPr>
        <w:t>.</w:t>
      </w:r>
    </w:p>
    <w:p w14:paraId="1F35EA67" w14:textId="77777777" w:rsidR="005C6F2B" w:rsidRDefault="005C6F2B" w:rsidP="005C6F2B">
      <w:pPr>
        <w:spacing w:after="240" w:line="276" w:lineRule="auto"/>
        <w:jc w:val="both"/>
        <w:rPr>
          <w:rFonts w:ascii="Times New Roman" w:hAnsi="Times New Roman"/>
          <w:bCs/>
        </w:rPr>
      </w:pPr>
      <w:r w:rsidRPr="005C6F2B">
        <w:rPr>
          <w:rFonts w:ascii="Times New Roman" w:hAnsi="Times New Roman"/>
          <w:bCs/>
        </w:rPr>
        <w:t xml:space="preserve">Dado que el capital a nivel nacional resulta insuficiente, los emprendedores y gestores profesionales buscan la financiación en otros países donde puede ser mucho más eficiente conseguir los recursos necesarios para el desarrollo de sus ideas y negocios. No obstante, esto genera altos costos de estructuración y de operación para los proyectos, dado que requieren un alistamiento, teniendo presente una estructura legal y tributaria de acuerdo con estándares internacionales, para lo cual los empresarios colombianos, en su mayoría, no están preparados y los recursos se dirigen a otros países. </w:t>
      </w:r>
    </w:p>
    <w:p w14:paraId="553BEC3F" w14:textId="23FF7ECE" w:rsidR="00A52B97" w:rsidRPr="005C6F2B" w:rsidRDefault="00A52B97" w:rsidP="005C6F2B">
      <w:pPr>
        <w:spacing w:after="240" w:line="276" w:lineRule="auto"/>
        <w:jc w:val="both"/>
        <w:rPr>
          <w:rFonts w:ascii="Times New Roman" w:hAnsi="Times New Roman"/>
          <w:bCs/>
        </w:rPr>
      </w:pPr>
      <w:r>
        <w:rPr>
          <w:rFonts w:ascii="Times New Roman" w:hAnsi="Times New Roman"/>
          <w:bCs/>
        </w:rPr>
        <w:t xml:space="preserve">Para evitar esto es importante que </w:t>
      </w:r>
      <w:r w:rsidR="00B06F7A">
        <w:rPr>
          <w:rFonts w:ascii="Times New Roman" w:hAnsi="Times New Roman"/>
          <w:bCs/>
        </w:rPr>
        <w:t>la administración distrital</w:t>
      </w:r>
      <w:r>
        <w:rPr>
          <w:rFonts w:ascii="Times New Roman" w:hAnsi="Times New Roman"/>
          <w:bCs/>
        </w:rPr>
        <w:t xml:space="preserve"> lidere programas </w:t>
      </w:r>
      <w:r w:rsidR="00B06F7A">
        <w:rPr>
          <w:rFonts w:ascii="Times New Roman" w:hAnsi="Times New Roman"/>
          <w:bCs/>
        </w:rPr>
        <w:t>que faciliten la</w:t>
      </w:r>
      <w:r>
        <w:rPr>
          <w:rFonts w:ascii="Times New Roman" w:hAnsi="Times New Roman"/>
          <w:bCs/>
        </w:rPr>
        <w:t xml:space="preserve"> obtención de recursos por parte de los emprendedores y empresarios que desarrollen sus actividades en </w:t>
      </w:r>
      <w:r w:rsidR="00B06F7A">
        <w:rPr>
          <w:rFonts w:ascii="Times New Roman" w:hAnsi="Times New Roman"/>
          <w:bCs/>
        </w:rPr>
        <w:t xml:space="preserve">Bogotá </w:t>
      </w:r>
      <w:r>
        <w:rPr>
          <w:rFonts w:ascii="Times New Roman" w:hAnsi="Times New Roman"/>
          <w:bCs/>
        </w:rPr>
        <w:t>y, de este modo, no perder las oportunidades de IED en los</w:t>
      </w:r>
      <w:r w:rsidR="00B06F7A">
        <w:rPr>
          <w:rFonts w:ascii="Times New Roman" w:hAnsi="Times New Roman"/>
          <w:bCs/>
        </w:rPr>
        <w:t xml:space="preserve"> diferentes </w:t>
      </w:r>
      <w:r>
        <w:rPr>
          <w:rFonts w:ascii="Times New Roman" w:hAnsi="Times New Roman"/>
          <w:bCs/>
        </w:rPr>
        <w:t xml:space="preserve"> sectores económicos, priorizando el sector industrial que actualmente se encuentra más rezagado y que cuenta con mayor potencial de crecimiento y, a su vez, </w:t>
      </w:r>
      <w:r w:rsidR="00B06F7A">
        <w:rPr>
          <w:rFonts w:ascii="Times New Roman" w:hAnsi="Times New Roman"/>
          <w:bCs/>
        </w:rPr>
        <w:t xml:space="preserve">de </w:t>
      </w:r>
      <w:r>
        <w:rPr>
          <w:rFonts w:ascii="Times New Roman" w:hAnsi="Times New Roman"/>
          <w:bCs/>
        </w:rPr>
        <w:t>beneficios</w:t>
      </w:r>
      <w:r w:rsidR="00B06F7A">
        <w:rPr>
          <w:rFonts w:ascii="Times New Roman" w:hAnsi="Times New Roman"/>
          <w:bCs/>
        </w:rPr>
        <w:t xml:space="preserve"> económicos tanto para los inversionistas como para la ciudad</w:t>
      </w:r>
      <w:r>
        <w:rPr>
          <w:rFonts w:ascii="Times New Roman" w:hAnsi="Times New Roman"/>
          <w:bCs/>
        </w:rPr>
        <w:t>.</w:t>
      </w:r>
    </w:p>
    <w:p w14:paraId="726E3094" w14:textId="77777777"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
          <w:bCs/>
        </w:rPr>
        <w:t>Etapa 3:</w:t>
      </w:r>
      <w:r w:rsidRPr="005C6F2B">
        <w:rPr>
          <w:rFonts w:ascii="Times New Roman" w:hAnsi="Times New Roman"/>
          <w:bCs/>
        </w:rPr>
        <w:t xml:space="preserve"> </w:t>
      </w:r>
      <w:r w:rsidRPr="00D9121F">
        <w:rPr>
          <w:rFonts w:ascii="Times New Roman" w:hAnsi="Times New Roman"/>
          <w:b/>
          <w:bCs/>
        </w:rPr>
        <w:t>Estabilidad / Madurez:</w:t>
      </w:r>
      <w:r w:rsidRPr="005C6F2B">
        <w:rPr>
          <w:rFonts w:ascii="Times New Roman" w:hAnsi="Times New Roman"/>
          <w:bCs/>
        </w:rPr>
        <w:t xml:space="preserve"> </w:t>
      </w:r>
    </w:p>
    <w:p w14:paraId="084AA2B1" w14:textId="7237EAC9" w:rsidR="005C6F2B" w:rsidRPr="005C6F2B" w:rsidRDefault="004F0318" w:rsidP="005C6F2B">
      <w:pPr>
        <w:spacing w:after="240" w:line="276" w:lineRule="auto"/>
        <w:jc w:val="both"/>
        <w:rPr>
          <w:rFonts w:ascii="Times New Roman" w:hAnsi="Times New Roman"/>
          <w:bCs/>
        </w:rPr>
      </w:pPr>
      <w:r>
        <w:rPr>
          <w:rFonts w:ascii="Times New Roman" w:hAnsi="Times New Roman"/>
          <w:bCs/>
        </w:rPr>
        <w:t>En este punto, muchas compañías buscan un mayor y constante acceso a capital</w:t>
      </w:r>
      <w:r w:rsidR="00B06F7A">
        <w:rPr>
          <w:rFonts w:ascii="Times New Roman" w:hAnsi="Times New Roman"/>
          <w:bCs/>
        </w:rPr>
        <w:t xml:space="preserve"> para </w:t>
      </w:r>
      <w:r>
        <w:rPr>
          <w:rFonts w:ascii="Times New Roman" w:hAnsi="Times New Roman"/>
          <w:bCs/>
        </w:rPr>
        <w:t>incrementar sus niveles de liquidez y contar con nuevos mecanismos de negociación</w:t>
      </w:r>
      <w:r w:rsidR="00B06F7A">
        <w:rPr>
          <w:rFonts w:ascii="Times New Roman" w:hAnsi="Times New Roman"/>
          <w:bCs/>
        </w:rPr>
        <w:t>,</w:t>
      </w:r>
      <w:r>
        <w:rPr>
          <w:rFonts w:ascii="Times New Roman" w:hAnsi="Times New Roman"/>
          <w:bCs/>
        </w:rPr>
        <w:t xml:space="preserve"> para lo cual</w:t>
      </w:r>
      <w:r w:rsidR="005C6F2B" w:rsidRPr="005C6F2B">
        <w:rPr>
          <w:rFonts w:ascii="Times New Roman" w:hAnsi="Times New Roman"/>
          <w:bCs/>
        </w:rPr>
        <w:t xml:space="preserve"> </w:t>
      </w:r>
      <w:r w:rsidR="00B06F7A">
        <w:rPr>
          <w:rFonts w:ascii="Times New Roman" w:hAnsi="Times New Roman"/>
          <w:bCs/>
        </w:rPr>
        <w:t xml:space="preserve">pueden buscar </w:t>
      </w:r>
      <w:r w:rsidR="005C6F2B" w:rsidRPr="005C6F2B">
        <w:rPr>
          <w:rFonts w:ascii="Times New Roman" w:hAnsi="Times New Roman"/>
          <w:bCs/>
        </w:rPr>
        <w:t>cotizar sus acciones en el mercado bursáti</w:t>
      </w:r>
      <w:r>
        <w:rPr>
          <w:rFonts w:ascii="Times New Roman" w:hAnsi="Times New Roman"/>
          <w:bCs/>
        </w:rPr>
        <w:t xml:space="preserve">l primario y secundario como herramienta clave </w:t>
      </w:r>
      <w:r w:rsidRPr="005C6F2B">
        <w:rPr>
          <w:rFonts w:ascii="Times New Roman" w:hAnsi="Times New Roman"/>
          <w:bCs/>
        </w:rPr>
        <w:t>para</w:t>
      </w:r>
      <w:r w:rsidR="005C6F2B" w:rsidRPr="005C6F2B">
        <w:rPr>
          <w:rFonts w:ascii="Times New Roman" w:hAnsi="Times New Roman"/>
          <w:bCs/>
        </w:rPr>
        <w:t xml:space="preserve"> el crecimiento y mayor </w:t>
      </w:r>
      <w:r>
        <w:rPr>
          <w:rFonts w:ascii="Times New Roman" w:hAnsi="Times New Roman"/>
          <w:bCs/>
        </w:rPr>
        <w:t xml:space="preserve">soporte </w:t>
      </w:r>
      <w:r w:rsidR="005C6F2B" w:rsidRPr="005C6F2B">
        <w:rPr>
          <w:rFonts w:ascii="Times New Roman" w:hAnsi="Times New Roman"/>
          <w:bCs/>
        </w:rPr>
        <w:t>financiación de deuda al permitir acceso a un univer</w:t>
      </w:r>
      <w:r>
        <w:rPr>
          <w:rFonts w:ascii="Times New Roman" w:hAnsi="Times New Roman"/>
          <w:bCs/>
        </w:rPr>
        <w:t>so de inversionistas más amplio</w:t>
      </w:r>
      <w:r w:rsidR="000F1A69">
        <w:rPr>
          <w:rStyle w:val="Refdenotaalpie"/>
          <w:rFonts w:ascii="Times New Roman" w:hAnsi="Times New Roman"/>
          <w:bCs/>
        </w:rPr>
        <w:footnoteReference w:id="26"/>
      </w:r>
      <w:r w:rsidR="005C6F2B" w:rsidRPr="005C6F2B">
        <w:rPr>
          <w:rFonts w:ascii="Times New Roman" w:hAnsi="Times New Roman"/>
          <w:bCs/>
        </w:rPr>
        <w:t>.</w:t>
      </w:r>
    </w:p>
    <w:p w14:paraId="32501CC5" w14:textId="44FFD590" w:rsidR="00A7632C" w:rsidRDefault="005C6F2B" w:rsidP="005C6F2B">
      <w:pPr>
        <w:spacing w:after="240" w:line="276" w:lineRule="auto"/>
        <w:jc w:val="both"/>
        <w:rPr>
          <w:rFonts w:ascii="Times New Roman" w:hAnsi="Times New Roman"/>
          <w:bCs/>
        </w:rPr>
      </w:pPr>
      <w:r w:rsidRPr="005C6F2B">
        <w:rPr>
          <w:rFonts w:ascii="Times New Roman" w:hAnsi="Times New Roman"/>
          <w:bCs/>
        </w:rPr>
        <w:t>Para alcanzar este objetivo, l</w:t>
      </w:r>
      <w:r w:rsidR="00B06F7A">
        <w:rPr>
          <w:rFonts w:ascii="Times New Roman" w:hAnsi="Times New Roman"/>
          <w:bCs/>
        </w:rPr>
        <w:t>os</w:t>
      </w:r>
      <w:r w:rsidRPr="005C6F2B">
        <w:rPr>
          <w:rFonts w:ascii="Times New Roman" w:hAnsi="Times New Roman"/>
          <w:bCs/>
        </w:rPr>
        <w:t xml:space="preserve"> Banc</w:t>
      </w:r>
      <w:r w:rsidR="00B06F7A">
        <w:rPr>
          <w:rFonts w:ascii="Times New Roman" w:hAnsi="Times New Roman"/>
          <w:bCs/>
        </w:rPr>
        <w:t>o</w:t>
      </w:r>
      <w:r w:rsidRPr="005C6F2B">
        <w:rPr>
          <w:rFonts w:ascii="Times New Roman" w:hAnsi="Times New Roman"/>
          <w:bCs/>
        </w:rPr>
        <w:t xml:space="preserve">s de Inversión y los Fondos de Capital Privado diseñan una salida de oferta pública a través de un proceso denominado IPO (oferta pública inicial). A pesar de los beneficios que derivan de este proceso, en Colombia, son pocas las compañías que deciden salir a bolsa debido a la baja eficiencia del mercado local </w:t>
      </w:r>
      <w:r w:rsidR="00666A1F">
        <w:rPr>
          <w:rFonts w:ascii="Times New Roman" w:hAnsi="Times New Roman"/>
          <w:bCs/>
        </w:rPr>
        <w:t xml:space="preserve">toda vez </w:t>
      </w:r>
      <w:r w:rsidRPr="005C6F2B">
        <w:rPr>
          <w:rFonts w:ascii="Times New Roman" w:hAnsi="Times New Roman"/>
          <w:bCs/>
        </w:rPr>
        <w:t>que “con un menor número de empresas listadas, las oportuni</w:t>
      </w:r>
      <w:r w:rsidR="000F1A69">
        <w:rPr>
          <w:rFonts w:ascii="Times New Roman" w:hAnsi="Times New Roman"/>
          <w:bCs/>
        </w:rPr>
        <w:t>dades de inversión se reducen”</w:t>
      </w:r>
      <w:r w:rsidR="000F1A69">
        <w:rPr>
          <w:rStyle w:val="Refdenotaalpie"/>
          <w:rFonts w:ascii="Times New Roman" w:hAnsi="Times New Roman"/>
          <w:bCs/>
        </w:rPr>
        <w:footnoteReference w:id="27"/>
      </w:r>
      <w:r w:rsidR="00B06F7A">
        <w:rPr>
          <w:rFonts w:ascii="Times New Roman" w:hAnsi="Times New Roman"/>
          <w:bCs/>
        </w:rPr>
        <w:t>, consolidando un círculo de improductividad</w:t>
      </w:r>
      <w:r w:rsidR="00A7632C">
        <w:rPr>
          <w:rFonts w:ascii="Times New Roman" w:hAnsi="Times New Roman"/>
          <w:bCs/>
        </w:rPr>
        <w:t>.</w:t>
      </w:r>
    </w:p>
    <w:p w14:paraId="466C7B72" w14:textId="77777777" w:rsidR="005C6F2B" w:rsidRPr="005C6F2B" w:rsidRDefault="00A7632C" w:rsidP="005C6F2B">
      <w:pPr>
        <w:spacing w:after="240" w:line="276" w:lineRule="auto"/>
        <w:jc w:val="both"/>
        <w:rPr>
          <w:rFonts w:ascii="Times New Roman" w:hAnsi="Times New Roman"/>
          <w:bCs/>
        </w:rPr>
      </w:pPr>
      <w:r>
        <w:rPr>
          <w:rFonts w:ascii="Times New Roman" w:hAnsi="Times New Roman"/>
          <w:bCs/>
        </w:rPr>
        <w:t xml:space="preserve">Además, los </w:t>
      </w:r>
      <w:r w:rsidR="005C6F2B" w:rsidRPr="005C6F2B">
        <w:rPr>
          <w:rFonts w:ascii="Times New Roman" w:hAnsi="Times New Roman"/>
          <w:bCs/>
        </w:rPr>
        <w:t>costos de entrada, debido a fuertes requerimien</w:t>
      </w:r>
      <w:r w:rsidR="00666A1F">
        <w:rPr>
          <w:rFonts w:ascii="Times New Roman" w:hAnsi="Times New Roman"/>
          <w:bCs/>
        </w:rPr>
        <w:t>tos fiscales y regulatorios, y</w:t>
      </w:r>
      <w:r w:rsidR="005C6F2B" w:rsidRPr="005C6F2B">
        <w:rPr>
          <w:rFonts w:ascii="Times New Roman" w:hAnsi="Times New Roman"/>
          <w:bCs/>
        </w:rPr>
        <w:t xml:space="preserve"> la cultura empresarial reacia a ceder control en su compañía, compartir información sensible y estar sujetos a la volatilidad del precio de las acciones</w:t>
      </w:r>
      <w:r w:rsidR="004F0318">
        <w:rPr>
          <w:rFonts w:ascii="Times New Roman" w:hAnsi="Times New Roman"/>
          <w:bCs/>
        </w:rPr>
        <w:t>, son barreras que inhiben el crecimiento del mercado accionario colombiano</w:t>
      </w:r>
      <w:r w:rsidR="000F1A69">
        <w:rPr>
          <w:rStyle w:val="Refdenotaalpie"/>
          <w:rFonts w:ascii="Times New Roman" w:hAnsi="Times New Roman"/>
          <w:bCs/>
        </w:rPr>
        <w:footnoteReference w:id="28"/>
      </w:r>
      <w:r w:rsidR="005C6F2B" w:rsidRPr="005C6F2B">
        <w:rPr>
          <w:rFonts w:ascii="Times New Roman" w:hAnsi="Times New Roman"/>
          <w:bCs/>
        </w:rPr>
        <w:t>.</w:t>
      </w:r>
    </w:p>
    <w:p w14:paraId="4AC8A200" w14:textId="77777777" w:rsidR="005C6F2B" w:rsidRPr="005C6F2B" w:rsidRDefault="00666A1F" w:rsidP="005C6F2B">
      <w:pPr>
        <w:spacing w:after="240" w:line="276" w:lineRule="auto"/>
        <w:jc w:val="both"/>
        <w:rPr>
          <w:rFonts w:ascii="Times New Roman" w:hAnsi="Times New Roman"/>
          <w:bCs/>
        </w:rPr>
      </w:pPr>
      <w:r>
        <w:rPr>
          <w:rFonts w:ascii="Times New Roman" w:hAnsi="Times New Roman"/>
          <w:bCs/>
        </w:rPr>
        <w:t>Lo anterior se evidencia en que “d</w:t>
      </w:r>
      <w:r w:rsidR="005C6F2B" w:rsidRPr="005C6F2B">
        <w:rPr>
          <w:rFonts w:ascii="Times New Roman" w:hAnsi="Times New Roman"/>
          <w:bCs/>
        </w:rPr>
        <w:t>esde 2014</w:t>
      </w:r>
      <w:r>
        <w:rPr>
          <w:rFonts w:ascii="Times New Roman" w:hAnsi="Times New Roman"/>
          <w:bCs/>
        </w:rPr>
        <w:t>,</w:t>
      </w:r>
      <w:r w:rsidR="005C6F2B" w:rsidRPr="005C6F2B">
        <w:rPr>
          <w:rFonts w:ascii="Times New Roman" w:hAnsi="Times New Roman"/>
          <w:bCs/>
        </w:rPr>
        <w:t xml:space="preserve"> apenas tres nuevas empresas han sido listadas en la bolsa, y una de ellas se retiró el año pasado. Esto permite afirmar que el mercado de valores colombiano es poco líquido, con un índice de rotaci</w:t>
      </w:r>
      <w:r w:rsidR="000F1A69">
        <w:rPr>
          <w:rFonts w:ascii="Times New Roman" w:hAnsi="Times New Roman"/>
          <w:bCs/>
        </w:rPr>
        <w:t>ón de acciones de apenas 9,4 %”</w:t>
      </w:r>
      <w:r w:rsidR="000F1A69">
        <w:rPr>
          <w:rStyle w:val="Refdenotaalpie"/>
          <w:rFonts w:ascii="Times New Roman" w:hAnsi="Times New Roman"/>
          <w:bCs/>
        </w:rPr>
        <w:footnoteReference w:id="29"/>
      </w:r>
      <w:r w:rsidR="000F1A69">
        <w:rPr>
          <w:rFonts w:ascii="Times New Roman" w:hAnsi="Times New Roman"/>
          <w:bCs/>
        </w:rPr>
        <w:t>.</w:t>
      </w:r>
    </w:p>
    <w:p w14:paraId="0DFBAED2" w14:textId="77777777" w:rsidR="005C6F2B" w:rsidRPr="005C6F2B" w:rsidRDefault="005C6F2B" w:rsidP="005C6F2B">
      <w:pPr>
        <w:spacing w:after="240" w:line="276" w:lineRule="auto"/>
        <w:jc w:val="center"/>
        <w:rPr>
          <w:rFonts w:ascii="Times New Roman" w:hAnsi="Times New Roman"/>
          <w:b/>
          <w:bCs/>
        </w:rPr>
      </w:pPr>
      <w:r w:rsidRPr="005C6F2B">
        <w:rPr>
          <w:rFonts w:ascii="Times New Roman" w:hAnsi="Times New Roman"/>
          <w:b/>
          <w:bCs/>
        </w:rPr>
        <w:t>Tamaño del Mercado de Valores por País y su Índice de Rotación</w:t>
      </w:r>
    </w:p>
    <w:p w14:paraId="0B6E7972" w14:textId="77777777" w:rsidR="005C6F2B" w:rsidRPr="005C6F2B" w:rsidRDefault="005C6F2B" w:rsidP="005C6F2B">
      <w:pPr>
        <w:spacing w:after="240" w:line="276" w:lineRule="auto"/>
        <w:jc w:val="center"/>
        <w:rPr>
          <w:rFonts w:ascii="Times New Roman" w:hAnsi="Times New Roman"/>
          <w:bCs/>
        </w:rPr>
      </w:pPr>
      <w:r w:rsidRPr="005C6F2B">
        <w:rPr>
          <w:rFonts w:ascii="Times New Roman" w:hAnsi="Times New Roman"/>
          <w:noProof/>
          <w:lang w:val="es-CO" w:eastAsia="es-CO"/>
        </w:rPr>
        <w:drawing>
          <wp:inline distT="0" distB="0" distL="0" distR="0" wp14:anchorId="00AC0BA2" wp14:editId="17F56B71">
            <wp:extent cx="3959144" cy="2001805"/>
            <wp:effectExtent l="0" t="0" r="381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013495" cy="2029286"/>
                    </a:xfrm>
                    <a:prstGeom prst="rect">
                      <a:avLst/>
                    </a:prstGeom>
                  </pic:spPr>
                </pic:pic>
              </a:graphicData>
            </a:graphic>
          </wp:inline>
        </w:drawing>
      </w:r>
    </w:p>
    <w:p w14:paraId="2835C503" w14:textId="77777777" w:rsidR="005C6F2B" w:rsidRPr="005C6F2B" w:rsidRDefault="005C6F2B" w:rsidP="005C6F2B">
      <w:pPr>
        <w:spacing w:after="240" w:line="276" w:lineRule="auto"/>
        <w:jc w:val="center"/>
        <w:rPr>
          <w:rFonts w:ascii="Times New Roman" w:hAnsi="Times New Roman"/>
          <w:bCs/>
          <w:sz w:val="18"/>
          <w:szCs w:val="18"/>
        </w:rPr>
      </w:pPr>
      <w:r w:rsidRPr="005C6F2B">
        <w:rPr>
          <w:rFonts w:ascii="Times New Roman" w:hAnsi="Times New Roman"/>
          <w:bCs/>
          <w:sz w:val="18"/>
          <w:szCs w:val="18"/>
          <w:lang w:val="en-US"/>
        </w:rPr>
        <w:t xml:space="preserve">Fuente: World Federation of Exchanges (2021). </w:t>
      </w:r>
      <w:r w:rsidRPr="005C6F2B">
        <w:rPr>
          <w:rFonts w:ascii="Times New Roman" w:hAnsi="Times New Roman"/>
          <w:bCs/>
          <w:sz w:val="18"/>
          <w:szCs w:val="18"/>
        </w:rPr>
        <w:t>Citado por Co</w:t>
      </w:r>
      <w:r w:rsidR="00D934C1">
        <w:rPr>
          <w:rFonts w:ascii="Times New Roman" w:hAnsi="Times New Roman"/>
          <w:bCs/>
          <w:sz w:val="18"/>
          <w:szCs w:val="18"/>
        </w:rPr>
        <w:t>nsejo Privado de Competitividad</w:t>
      </w:r>
      <w:r w:rsidRPr="005C6F2B">
        <w:rPr>
          <w:rFonts w:ascii="Times New Roman" w:hAnsi="Times New Roman"/>
          <w:bCs/>
          <w:sz w:val="18"/>
          <w:szCs w:val="18"/>
        </w:rPr>
        <w:t xml:space="preserve"> </w:t>
      </w:r>
      <w:r w:rsidR="00D934C1">
        <w:rPr>
          <w:rFonts w:ascii="Times New Roman" w:hAnsi="Times New Roman"/>
          <w:bCs/>
          <w:sz w:val="18"/>
          <w:szCs w:val="18"/>
        </w:rPr>
        <w:t>(2022), p</w:t>
      </w:r>
      <w:r w:rsidRPr="005C6F2B">
        <w:rPr>
          <w:rFonts w:ascii="Times New Roman" w:hAnsi="Times New Roman"/>
          <w:bCs/>
          <w:sz w:val="18"/>
          <w:szCs w:val="18"/>
        </w:rPr>
        <w:t>. 385.</w:t>
      </w:r>
    </w:p>
    <w:p w14:paraId="4783222F" w14:textId="77777777" w:rsidR="002C46E3" w:rsidRDefault="002C46E3" w:rsidP="002C46E3">
      <w:pPr>
        <w:spacing w:after="240" w:line="276" w:lineRule="auto"/>
        <w:jc w:val="both"/>
        <w:rPr>
          <w:rFonts w:ascii="Times New Roman" w:hAnsi="Times New Roman"/>
          <w:b/>
          <w:bCs/>
        </w:rPr>
      </w:pPr>
      <w:r w:rsidRPr="002C46E3">
        <w:rPr>
          <w:rFonts w:ascii="Times New Roman" w:hAnsi="Times New Roman"/>
          <w:b/>
          <w:bCs/>
        </w:rPr>
        <w:t xml:space="preserve">En este sentido, se proponen desde este proyecto de acuerdo las siguientes acciones concretas que pueden contribuir a la institucionalización </w:t>
      </w:r>
      <w:r>
        <w:rPr>
          <w:rFonts w:ascii="Times New Roman" w:hAnsi="Times New Roman"/>
          <w:b/>
          <w:bCs/>
        </w:rPr>
        <w:t xml:space="preserve">de las fuentes de financiación no tradicionales </w:t>
      </w:r>
      <w:r w:rsidRPr="002C46E3">
        <w:rPr>
          <w:rFonts w:ascii="Times New Roman" w:hAnsi="Times New Roman"/>
          <w:b/>
          <w:bCs/>
        </w:rPr>
        <w:t xml:space="preserve">y </w:t>
      </w:r>
      <w:r>
        <w:rPr>
          <w:rFonts w:ascii="Times New Roman" w:hAnsi="Times New Roman"/>
          <w:b/>
          <w:bCs/>
        </w:rPr>
        <w:t xml:space="preserve">el </w:t>
      </w:r>
      <w:r w:rsidRPr="002C46E3">
        <w:rPr>
          <w:rFonts w:ascii="Times New Roman" w:hAnsi="Times New Roman"/>
          <w:b/>
          <w:bCs/>
        </w:rPr>
        <w:t xml:space="preserve">fortalecimiento </w:t>
      </w:r>
      <w:r>
        <w:rPr>
          <w:rFonts w:ascii="Times New Roman" w:hAnsi="Times New Roman"/>
          <w:b/>
          <w:bCs/>
        </w:rPr>
        <w:t>de tejido empresarial distrital:</w:t>
      </w:r>
    </w:p>
    <w:p w14:paraId="5F784E2B" w14:textId="22A7995F" w:rsidR="00DC76FF" w:rsidRPr="00DC76FF" w:rsidRDefault="00CF6E20" w:rsidP="00AB6124">
      <w:pPr>
        <w:pStyle w:val="Prrafodelista"/>
        <w:numPr>
          <w:ilvl w:val="0"/>
          <w:numId w:val="15"/>
        </w:numPr>
        <w:spacing w:line="276" w:lineRule="auto"/>
        <w:jc w:val="both"/>
        <w:rPr>
          <w:rFonts w:ascii="Times New Roman" w:hAnsi="Times New Roman"/>
          <w:bCs/>
        </w:rPr>
      </w:pPr>
      <w:r>
        <w:rPr>
          <w:rFonts w:ascii="Times New Roman" w:hAnsi="Times New Roman"/>
          <w:bCs/>
        </w:rPr>
        <w:t>Fortalecimiento y articulación de los programas “Hecho en Bogotá” y “Bogotá Productiva”</w:t>
      </w:r>
      <w:r w:rsidR="00DC76FF">
        <w:rPr>
          <w:rFonts w:ascii="Times New Roman" w:hAnsi="Times New Roman"/>
          <w:bCs/>
        </w:rPr>
        <w:t>:</w:t>
      </w:r>
    </w:p>
    <w:p w14:paraId="255BA0F0" w14:textId="77777777" w:rsidR="00DC76FF" w:rsidRPr="00DC76FF" w:rsidRDefault="00DC76FF" w:rsidP="00AB6124">
      <w:pPr>
        <w:pStyle w:val="Prrafodelista"/>
        <w:spacing w:line="276" w:lineRule="auto"/>
        <w:ind w:left="720"/>
        <w:jc w:val="both"/>
        <w:rPr>
          <w:rFonts w:ascii="Times New Roman" w:hAnsi="Times New Roman"/>
          <w:bCs/>
        </w:rPr>
      </w:pPr>
    </w:p>
    <w:p w14:paraId="0A9AA1C2" w14:textId="6B73CD49" w:rsidR="00B06F7A" w:rsidRDefault="00DC76FF" w:rsidP="00AB6124">
      <w:pPr>
        <w:spacing w:line="276" w:lineRule="auto"/>
        <w:jc w:val="both"/>
        <w:rPr>
          <w:rFonts w:ascii="Times New Roman" w:hAnsi="Times New Roman"/>
          <w:bCs/>
        </w:rPr>
      </w:pPr>
      <w:r w:rsidRPr="00DC76FF">
        <w:rPr>
          <w:rFonts w:ascii="Times New Roman" w:hAnsi="Times New Roman"/>
          <w:bCs/>
        </w:rPr>
        <w:t xml:space="preserve">Uno de los principales </w:t>
      </w:r>
      <w:r w:rsidR="009F7860">
        <w:rPr>
          <w:rFonts w:ascii="Times New Roman" w:hAnsi="Times New Roman"/>
          <w:bCs/>
        </w:rPr>
        <w:t>obstaculos</w:t>
      </w:r>
      <w:r w:rsidRPr="00DC76FF">
        <w:rPr>
          <w:rFonts w:ascii="Times New Roman" w:hAnsi="Times New Roman"/>
          <w:bCs/>
        </w:rPr>
        <w:t xml:space="preserve"> en el acceso a fuentes de financiación no tradicionales en Bogotá es el bajo nivel de </w:t>
      </w:r>
      <w:r w:rsidR="00CF6E20">
        <w:rPr>
          <w:rFonts w:ascii="Times New Roman" w:hAnsi="Times New Roman"/>
          <w:bCs/>
        </w:rPr>
        <w:t>conocimientos</w:t>
      </w:r>
      <w:r w:rsidRPr="00DC76FF">
        <w:rPr>
          <w:rFonts w:ascii="Times New Roman" w:hAnsi="Times New Roman"/>
          <w:bCs/>
        </w:rPr>
        <w:t xml:space="preserve"> financier</w:t>
      </w:r>
      <w:r w:rsidR="00CF6E20">
        <w:rPr>
          <w:rFonts w:ascii="Times New Roman" w:hAnsi="Times New Roman"/>
          <w:bCs/>
        </w:rPr>
        <w:t>os</w:t>
      </w:r>
      <w:r w:rsidRPr="00DC76FF">
        <w:rPr>
          <w:rFonts w:ascii="Times New Roman" w:hAnsi="Times New Roman"/>
          <w:bCs/>
        </w:rPr>
        <w:t xml:space="preserve"> y </w:t>
      </w:r>
      <w:r w:rsidR="006F1D13">
        <w:rPr>
          <w:rFonts w:ascii="Times New Roman" w:hAnsi="Times New Roman"/>
          <w:bCs/>
        </w:rPr>
        <w:t>estrategias</w:t>
      </w:r>
      <w:r w:rsidRPr="00DC76FF">
        <w:rPr>
          <w:rFonts w:ascii="Times New Roman" w:hAnsi="Times New Roman"/>
          <w:bCs/>
        </w:rPr>
        <w:t xml:space="preserve"> especializad</w:t>
      </w:r>
      <w:r w:rsidR="006F1D13">
        <w:rPr>
          <w:rFonts w:ascii="Times New Roman" w:hAnsi="Times New Roman"/>
          <w:bCs/>
        </w:rPr>
        <w:t>as de financiación</w:t>
      </w:r>
      <w:r w:rsidRPr="00DC76FF">
        <w:rPr>
          <w:rFonts w:ascii="Times New Roman" w:hAnsi="Times New Roman"/>
          <w:bCs/>
        </w:rPr>
        <w:t xml:space="preserve"> </w:t>
      </w:r>
      <w:r w:rsidR="006F1D13">
        <w:rPr>
          <w:rFonts w:ascii="Times New Roman" w:hAnsi="Times New Roman"/>
          <w:bCs/>
        </w:rPr>
        <w:t xml:space="preserve">con instrumentos </w:t>
      </w:r>
      <w:r w:rsidRPr="00DC76FF">
        <w:rPr>
          <w:rFonts w:ascii="Times New Roman" w:hAnsi="Times New Roman"/>
          <w:bCs/>
        </w:rPr>
        <w:t xml:space="preserve">como el capital privado, el </w:t>
      </w:r>
      <w:r w:rsidR="00AB6124">
        <w:rPr>
          <w:rFonts w:ascii="Times New Roman" w:hAnsi="Times New Roman"/>
          <w:bCs/>
        </w:rPr>
        <w:t>capital de riesgo (</w:t>
      </w:r>
      <w:r w:rsidRPr="00DC76FF">
        <w:rPr>
          <w:rFonts w:ascii="Times New Roman" w:hAnsi="Times New Roman"/>
          <w:bCs/>
          <w:i/>
        </w:rPr>
        <w:t>venture capital</w:t>
      </w:r>
      <w:r w:rsidR="00AB6124">
        <w:rPr>
          <w:rFonts w:ascii="Times New Roman" w:hAnsi="Times New Roman"/>
          <w:bCs/>
        </w:rPr>
        <w:t>)</w:t>
      </w:r>
      <w:r w:rsidRPr="00DC76FF">
        <w:rPr>
          <w:rFonts w:ascii="Times New Roman" w:hAnsi="Times New Roman"/>
          <w:bCs/>
        </w:rPr>
        <w:t xml:space="preserve">, los fondos de inversión o el </w:t>
      </w:r>
      <w:r w:rsidRPr="00DC76FF">
        <w:rPr>
          <w:rFonts w:ascii="Times New Roman" w:hAnsi="Times New Roman"/>
          <w:bCs/>
          <w:i/>
        </w:rPr>
        <w:t>crowdfunding</w:t>
      </w:r>
      <w:r w:rsidRPr="00DC76FF">
        <w:rPr>
          <w:rFonts w:ascii="Times New Roman" w:hAnsi="Times New Roman"/>
          <w:bCs/>
        </w:rPr>
        <w:t xml:space="preserve">. </w:t>
      </w:r>
    </w:p>
    <w:p w14:paraId="4848D7A8" w14:textId="77777777" w:rsidR="00B06F7A" w:rsidRDefault="00B06F7A" w:rsidP="00AB6124">
      <w:pPr>
        <w:spacing w:line="276" w:lineRule="auto"/>
        <w:jc w:val="both"/>
        <w:rPr>
          <w:rFonts w:ascii="Times New Roman" w:hAnsi="Times New Roman"/>
          <w:bCs/>
        </w:rPr>
      </w:pPr>
    </w:p>
    <w:p w14:paraId="4739DE72" w14:textId="43D1663E" w:rsidR="00DC76FF" w:rsidRPr="00DC76FF" w:rsidRDefault="00DC76FF" w:rsidP="00AB6124">
      <w:pPr>
        <w:spacing w:line="276" w:lineRule="auto"/>
        <w:jc w:val="both"/>
        <w:rPr>
          <w:rFonts w:ascii="Times New Roman" w:hAnsi="Times New Roman"/>
          <w:bCs/>
        </w:rPr>
      </w:pPr>
      <w:r w:rsidRPr="00DC76FF">
        <w:rPr>
          <w:rFonts w:ascii="Times New Roman" w:hAnsi="Times New Roman"/>
          <w:bCs/>
        </w:rPr>
        <w:t xml:space="preserve">En este sentido, </w:t>
      </w:r>
      <w:r w:rsidR="006F1D13">
        <w:rPr>
          <w:rFonts w:ascii="Times New Roman" w:hAnsi="Times New Roman"/>
          <w:bCs/>
        </w:rPr>
        <w:t>la</w:t>
      </w:r>
      <w:r w:rsidRPr="00C24888">
        <w:rPr>
          <w:rFonts w:ascii="Times New Roman" w:hAnsi="Times New Roman"/>
          <w:bCs/>
        </w:rPr>
        <w:t xml:space="preserve"> estrategia de formación y educación empresaria</w:t>
      </w:r>
      <w:r w:rsidRPr="00DC76FF">
        <w:rPr>
          <w:rFonts w:ascii="Times New Roman" w:hAnsi="Times New Roman"/>
          <w:bCs/>
        </w:rPr>
        <w:t xml:space="preserve">l </w:t>
      </w:r>
      <w:r w:rsidR="006F1D13">
        <w:rPr>
          <w:rFonts w:ascii="Times New Roman" w:hAnsi="Times New Roman"/>
          <w:bCs/>
        </w:rPr>
        <w:t xml:space="preserve">que se da actualmente por medio del programa “Hecho en Bogotá” </w:t>
      </w:r>
      <w:r w:rsidRPr="00DC76FF">
        <w:rPr>
          <w:rFonts w:ascii="Times New Roman" w:hAnsi="Times New Roman"/>
          <w:bCs/>
        </w:rPr>
        <w:t xml:space="preserve">debe </w:t>
      </w:r>
      <w:r w:rsidR="006F1D13">
        <w:rPr>
          <w:rFonts w:ascii="Times New Roman" w:hAnsi="Times New Roman"/>
          <w:bCs/>
        </w:rPr>
        <w:t xml:space="preserve">articularse con la plataforma “Academia Bogotá Productiva” con el propósito de </w:t>
      </w:r>
      <w:r w:rsidR="006F1D13" w:rsidRPr="006F1D13">
        <w:rPr>
          <w:rFonts w:ascii="Times New Roman" w:hAnsi="Times New Roman"/>
          <w:bCs/>
        </w:rPr>
        <w:t>desarrollar una plataforma de formación y capacitación unificada entre los programas de la ruta de productividad para emprendedores locales de la SDDE</w:t>
      </w:r>
      <w:r w:rsidR="006F1D13">
        <w:rPr>
          <w:rFonts w:ascii="Times New Roman" w:hAnsi="Times New Roman"/>
          <w:bCs/>
        </w:rPr>
        <w:t xml:space="preserve"> y, a su vez, alcanzar</w:t>
      </w:r>
      <w:r w:rsidR="00AB6124">
        <w:rPr>
          <w:rFonts w:ascii="Times New Roman" w:hAnsi="Times New Roman"/>
          <w:bCs/>
        </w:rPr>
        <w:t xml:space="preserve"> </w:t>
      </w:r>
      <w:r w:rsidR="006F1D13">
        <w:rPr>
          <w:rFonts w:ascii="Times New Roman" w:hAnsi="Times New Roman"/>
          <w:bCs/>
        </w:rPr>
        <w:t xml:space="preserve">las metas definidas </w:t>
      </w:r>
      <w:r w:rsidR="00AB6124">
        <w:rPr>
          <w:rFonts w:ascii="Times New Roman" w:hAnsi="Times New Roman"/>
          <w:bCs/>
        </w:rPr>
        <w:t xml:space="preserve">en el objetivo estratégico </w:t>
      </w:r>
      <w:r w:rsidR="00AB6124">
        <w:rPr>
          <w:rFonts w:ascii="Times New Roman" w:hAnsi="Times New Roman"/>
        </w:rPr>
        <w:t>“Bogotá confía en su potencial” del Plan de Desarrollo: Bogotá Camina Segura</w:t>
      </w:r>
      <w:r w:rsidRPr="00DC76FF">
        <w:rPr>
          <w:rFonts w:ascii="Times New Roman" w:hAnsi="Times New Roman"/>
          <w:bCs/>
        </w:rPr>
        <w:t>.</w:t>
      </w:r>
    </w:p>
    <w:p w14:paraId="12178B4A" w14:textId="77777777" w:rsidR="00DC76FF" w:rsidRPr="00DC76FF" w:rsidRDefault="00DC76FF" w:rsidP="00AB6124">
      <w:pPr>
        <w:spacing w:line="276" w:lineRule="auto"/>
        <w:jc w:val="both"/>
        <w:rPr>
          <w:rFonts w:ascii="Times New Roman" w:hAnsi="Times New Roman"/>
          <w:bCs/>
        </w:rPr>
      </w:pPr>
    </w:p>
    <w:p w14:paraId="3BACE9D4" w14:textId="79554ED9" w:rsidR="006F1D13" w:rsidRDefault="00DC76FF" w:rsidP="00AB6124">
      <w:pPr>
        <w:spacing w:line="276" w:lineRule="auto"/>
        <w:jc w:val="both"/>
        <w:rPr>
          <w:rFonts w:ascii="Times New Roman" w:hAnsi="Times New Roman"/>
          <w:bCs/>
        </w:rPr>
      </w:pPr>
      <w:r w:rsidRPr="00DC76FF">
        <w:rPr>
          <w:rFonts w:ascii="Times New Roman" w:hAnsi="Times New Roman"/>
          <w:bCs/>
        </w:rPr>
        <w:t xml:space="preserve">La propuesta contempla el </w:t>
      </w:r>
      <w:r w:rsidR="006F1D13">
        <w:rPr>
          <w:rFonts w:ascii="Times New Roman" w:hAnsi="Times New Roman"/>
          <w:bCs/>
        </w:rPr>
        <w:t xml:space="preserve">fortalecimiento de los contenidos formativos de estas plataformas a través del </w:t>
      </w:r>
      <w:r w:rsidRPr="00DC76FF">
        <w:rPr>
          <w:rFonts w:ascii="Times New Roman" w:hAnsi="Times New Roman"/>
          <w:bCs/>
        </w:rPr>
        <w:t xml:space="preserve">diseño e implementación de una ruta formativa modular orientada a MiPymes, emprendimientos y empresas en crecimiento, con enfoque en: </w:t>
      </w:r>
      <w:r w:rsidR="006F1D13">
        <w:rPr>
          <w:rFonts w:ascii="Times New Roman" w:hAnsi="Times New Roman"/>
          <w:bCs/>
        </w:rPr>
        <w:t>formulación</w:t>
      </w:r>
      <w:r w:rsidRPr="00DC76FF">
        <w:rPr>
          <w:rFonts w:ascii="Times New Roman" w:hAnsi="Times New Roman"/>
          <w:bCs/>
        </w:rPr>
        <w:t xml:space="preserve"> de pitch financiero, gobernanza corporativa, valoración de empresas, negociación con fondos, y herramientas como el </w:t>
      </w:r>
      <w:r w:rsidRPr="00AB6124">
        <w:rPr>
          <w:rFonts w:ascii="Times New Roman" w:hAnsi="Times New Roman"/>
          <w:bCs/>
          <w:i/>
        </w:rPr>
        <w:t>term sheet</w:t>
      </w:r>
      <w:r w:rsidRPr="00DC76FF">
        <w:rPr>
          <w:rFonts w:ascii="Times New Roman" w:hAnsi="Times New Roman"/>
          <w:bCs/>
        </w:rPr>
        <w:t xml:space="preserve">, </w:t>
      </w:r>
      <w:r w:rsidRPr="00AB6124">
        <w:rPr>
          <w:rFonts w:ascii="Times New Roman" w:hAnsi="Times New Roman"/>
          <w:bCs/>
          <w:i/>
        </w:rPr>
        <w:t>data rooms</w:t>
      </w:r>
      <w:r w:rsidRPr="00DC76FF">
        <w:rPr>
          <w:rFonts w:ascii="Times New Roman" w:hAnsi="Times New Roman"/>
          <w:bCs/>
        </w:rPr>
        <w:t xml:space="preserve"> y proyecciones de retornos. </w:t>
      </w:r>
    </w:p>
    <w:p w14:paraId="4EA03CE3" w14:textId="77777777" w:rsidR="006F1D13" w:rsidRDefault="006F1D13" w:rsidP="00AB6124">
      <w:pPr>
        <w:spacing w:line="276" w:lineRule="auto"/>
        <w:jc w:val="both"/>
        <w:rPr>
          <w:rFonts w:ascii="Times New Roman" w:hAnsi="Times New Roman"/>
          <w:bCs/>
        </w:rPr>
      </w:pPr>
    </w:p>
    <w:p w14:paraId="772B42E6" w14:textId="58BEDDA8" w:rsidR="00DC76FF" w:rsidRPr="00DC76FF" w:rsidRDefault="00DC76FF" w:rsidP="00AB6124">
      <w:pPr>
        <w:spacing w:line="276" w:lineRule="auto"/>
        <w:jc w:val="both"/>
        <w:rPr>
          <w:rFonts w:ascii="Times New Roman" w:hAnsi="Times New Roman"/>
          <w:bCs/>
        </w:rPr>
      </w:pPr>
      <w:r w:rsidRPr="00DC76FF">
        <w:rPr>
          <w:rFonts w:ascii="Times New Roman" w:hAnsi="Times New Roman"/>
          <w:bCs/>
        </w:rPr>
        <w:t>Esta estrategia debe implementarse a través de alianzas con universidades, aceleradoras, fondos de inversión, la Cámara de Comercio de Bogotá y entidades del orden nacional como iNNpulsa y el Fondo Emprender. De igual forma, debe incluir contenidos diferenciados para grupos subrepresentados como mujeres emprendedoras, jóvenes rurales y unidades productivas informales, lo que contribuirá a cerrar brechas estructurales de acceso al capital.</w:t>
      </w:r>
      <w:r w:rsidR="00AB6124">
        <w:rPr>
          <w:rFonts w:ascii="Times New Roman" w:hAnsi="Times New Roman"/>
          <w:bCs/>
        </w:rPr>
        <w:t xml:space="preserve"> </w:t>
      </w:r>
    </w:p>
    <w:p w14:paraId="51B26BB0" w14:textId="77777777" w:rsidR="00DC76FF" w:rsidRPr="00DC76FF" w:rsidRDefault="00DC76FF" w:rsidP="00AB6124">
      <w:pPr>
        <w:spacing w:line="276" w:lineRule="auto"/>
        <w:jc w:val="both"/>
        <w:rPr>
          <w:rFonts w:ascii="Times New Roman" w:hAnsi="Times New Roman"/>
          <w:bCs/>
        </w:rPr>
      </w:pPr>
    </w:p>
    <w:p w14:paraId="44DA1BC6" w14:textId="109BDF9A" w:rsidR="00DC76FF" w:rsidRPr="00DC76FF" w:rsidRDefault="00AE5815" w:rsidP="00AB6124">
      <w:pPr>
        <w:pStyle w:val="Prrafodelista"/>
        <w:numPr>
          <w:ilvl w:val="0"/>
          <w:numId w:val="15"/>
        </w:numPr>
        <w:spacing w:line="276" w:lineRule="auto"/>
        <w:jc w:val="both"/>
        <w:rPr>
          <w:rFonts w:ascii="Times New Roman" w:hAnsi="Times New Roman"/>
          <w:bCs/>
        </w:rPr>
      </w:pPr>
      <w:r>
        <w:rPr>
          <w:rFonts w:ascii="Times New Roman" w:hAnsi="Times New Roman"/>
          <w:bCs/>
        </w:rPr>
        <w:t xml:space="preserve">Fortalecimiento e </w:t>
      </w:r>
      <w:r w:rsidR="00DC76FF" w:rsidRPr="00DC76FF">
        <w:rPr>
          <w:rFonts w:ascii="Times New Roman" w:hAnsi="Times New Roman"/>
          <w:bCs/>
        </w:rPr>
        <w:t xml:space="preserve">Incentivos para </w:t>
      </w:r>
      <w:r>
        <w:rPr>
          <w:rFonts w:ascii="Times New Roman" w:hAnsi="Times New Roman"/>
          <w:bCs/>
        </w:rPr>
        <w:t>i</w:t>
      </w:r>
      <w:r w:rsidR="00DC76FF" w:rsidRPr="00DC76FF">
        <w:rPr>
          <w:rFonts w:ascii="Times New Roman" w:hAnsi="Times New Roman"/>
          <w:bCs/>
        </w:rPr>
        <w:t>nversiones en el Distrito:</w:t>
      </w:r>
    </w:p>
    <w:p w14:paraId="7E6856CA" w14:textId="77777777" w:rsidR="00DC76FF" w:rsidRPr="00DC76FF" w:rsidRDefault="00DC76FF" w:rsidP="00AB6124">
      <w:pPr>
        <w:pStyle w:val="Prrafodelista"/>
        <w:spacing w:line="276" w:lineRule="auto"/>
        <w:ind w:left="720"/>
        <w:jc w:val="both"/>
        <w:rPr>
          <w:rFonts w:ascii="Times New Roman" w:hAnsi="Times New Roman"/>
          <w:bCs/>
        </w:rPr>
      </w:pPr>
    </w:p>
    <w:p w14:paraId="03D677C0" w14:textId="77777777" w:rsidR="00DC76FF" w:rsidRPr="00DC76FF" w:rsidRDefault="00DC76FF" w:rsidP="00AB6124">
      <w:pPr>
        <w:spacing w:line="276" w:lineRule="auto"/>
        <w:jc w:val="both"/>
        <w:rPr>
          <w:rFonts w:ascii="Times New Roman" w:hAnsi="Times New Roman"/>
          <w:bCs/>
        </w:rPr>
      </w:pPr>
      <w:r w:rsidRPr="00DC76FF">
        <w:rPr>
          <w:rFonts w:ascii="Times New Roman" w:hAnsi="Times New Roman"/>
          <w:bCs/>
        </w:rPr>
        <w:t xml:space="preserve">Para estimular la atracción de capital privado, inversión extranjera directa </w:t>
      </w:r>
      <w:r w:rsidR="00AB6124">
        <w:rPr>
          <w:rFonts w:ascii="Times New Roman" w:hAnsi="Times New Roman"/>
          <w:bCs/>
        </w:rPr>
        <w:t xml:space="preserve">(IED) </w:t>
      </w:r>
      <w:r w:rsidRPr="00DC76FF">
        <w:rPr>
          <w:rFonts w:ascii="Times New Roman" w:hAnsi="Times New Roman"/>
          <w:bCs/>
        </w:rPr>
        <w:t>y recursos provenientes de fondos colectivos, es fundamental que el Distrito Capital establezca un esquema de incentivos tributarios e institucionales coherente, transparente y competitivo frente a otras regiones. Esto es particularmente relevante en un contexto donde el capital fluye hacia ecosistemas con menores barreras normativas y mejores condiciones de retorno ajustado al riesgo.</w:t>
      </w:r>
    </w:p>
    <w:p w14:paraId="55BCB7AC" w14:textId="77777777" w:rsidR="00DC76FF" w:rsidRPr="00DC76FF" w:rsidRDefault="00DC76FF" w:rsidP="00AB6124">
      <w:pPr>
        <w:spacing w:line="276" w:lineRule="auto"/>
        <w:jc w:val="both"/>
        <w:rPr>
          <w:rFonts w:ascii="Times New Roman" w:hAnsi="Times New Roman"/>
          <w:bCs/>
        </w:rPr>
      </w:pPr>
    </w:p>
    <w:p w14:paraId="43DF20CB" w14:textId="77777777" w:rsidR="00DC76FF" w:rsidRPr="00DC76FF" w:rsidRDefault="00DC76FF" w:rsidP="00AB6124">
      <w:pPr>
        <w:spacing w:line="276" w:lineRule="auto"/>
        <w:jc w:val="both"/>
        <w:rPr>
          <w:rFonts w:ascii="Times New Roman" w:hAnsi="Times New Roman"/>
          <w:bCs/>
        </w:rPr>
      </w:pPr>
      <w:r w:rsidRPr="00DC76FF">
        <w:rPr>
          <w:rFonts w:ascii="Times New Roman" w:hAnsi="Times New Roman"/>
          <w:bCs/>
        </w:rPr>
        <w:t xml:space="preserve">En ese marco, </w:t>
      </w:r>
      <w:r w:rsidR="00AB6124">
        <w:rPr>
          <w:rFonts w:ascii="Times New Roman" w:hAnsi="Times New Roman"/>
          <w:bCs/>
        </w:rPr>
        <w:t>se</w:t>
      </w:r>
      <w:r w:rsidRPr="00DC76FF">
        <w:rPr>
          <w:rFonts w:ascii="Times New Roman" w:hAnsi="Times New Roman"/>
          <w:bCs/>
        </w:rPr>
        <w:t xml:space="preserve"> propone estudiar la viabilidad de implementar incentivos tributarios transitorios (como exenciones parciales de ICA o beneficios en </w:t>
      </w:r>
      <w:r w:rsidR="00AB6124">
        <w:rPr>
          <w:rFonts w:ascii="Times New Roman" w:hAnsi="Times New Roman"/>
          <w:bCs/>
        </w:rPr>
        <w:t xml:space="preserve">el impuesto </w:t>
      </w:r>
      <w:r w:rsidRPr="00DC76FF">
        <w:rPr>
          <w:rFonts w:ascii="Times New Roman" w:hAnsi="Times New Roman"/>
          <w:bCs/>
        </w:rPr>
        <w:t>predial) para fondos de inversión que destinen recursos a empresas bogotanas en etapa temprana, escalamiento o re</w:t>
      </w:r>
      <w:r w:rsidR="00AB6124">
        <w:rPr>
          <w:rFonts w:ascii="Times New Roman" w:hAnsi="Times New Roman"/>
          <w:bCs/>
        </w:rPr>
        <w:t>conversión productiva. En el mismo sentido</w:t>
      </w:r>
      <w:r w:rsidRPr="00DC76FF">
        <w:rPr>
          <w:rFonts w:ascii="Times New Roman" w:hAnsi="Times New Roman"/>
          <w:bCs/>
        </w:rPr>
        <w:t>, se recomienda reconocer a las sociedades de capital emprendedor (SCE) y fondos privados domiciliados en Bogotá como actores prioritarios dentro de los instrumentos de desarrollo económico local.</w:t>
      </w:r>
    </w:p>
    <w:p w14:paraId="61F9E762" w14:textId="77777777" w:rsidR="00DC76FF" w:rsidRPr="00DC76FF" w:rsidRDefault="00DC76FF" w:rsidP="00AB6124">
      <w:pPr>
        <w:spacing w:line="276" w:lineRule="auto"/>
        <w:jc w:val="both"/>
        <w:rPr>
          <w:rFonts w:ascii="Times New Roman" w:hAnsi="Times New Roman"/>
          <w:bCs/>
        </w:rPr>
      </w:pPr>
    </w:p>
    <w:p w14:paraId="43CBF132" w14:textId="5DF8F96E" w:rsidR="00DC76FF" w:rsidRDefault="00DC76FF" w:rsidP="00476E03">
      <w:pPr>
        <w:spacing w:line="276" w:lineRule="auto"/>
        <w:jc w:val="both"/>
        <w:rPr>
          <w:rFonts w:ascii="Times New Roman" w:hAnsi="Times New Roman"/>
          <w:bCs/>
        </w:rPr>
      </w:pPr>
      <w:r w:rsidRPr="00DC76FF">
        <w:rPr>
          <w:rFonts w:ascii="Times New Roman" w:hAnsi="Times New Roman"/>
          <w:bCs/>
        </w:rPr>
        <w:t xml:space="preserve">Asimismo, se sugiere la creación de un </w:t>
      </w:r>
      <w:r w:rsidR="006F1D13">
        <w:rPr>
          <w:rFonts w:ascii="Times New Roman" w:hAnsi="Times New Roman"/>
          <w:bCs/>
        </w:rPr>
        <w:t>R</w:t>
      </w:r>
      <w:r w:rsidRPr="00DC76FF">
        <w:rPr>
          <w:rFonts w:ascii="Times New Roman" w:hAnsi="Times New Roman"/>
          <w:bCs/>
        </w:rPr>
        <w:t>egistro Distrital de Inversionistas con Impacto en el cual se inscriban los fondos que destinen parte de su portafolio a sectores estratégicos para la ciudad</w:t>
      </w:r>
      <w:r w:rsidR="00206907">
        <w:rPr>
          <w:rFonts w:ascii="Times New Roman" w:hAnsi="Times New Roman"/>
          <w:bCs/>
        </w:rPr>
        <w:t>, en línea con los sectores estratégicos establecidos por la administración</w:t>
      </w:r>
      <w:r w:rsidRPr="00DC76FF">
        <w:rPr>
          <w:rFonts w:ascii="Times New Roman" w:hAnsi="Times New Roman"/>
          <w:bCs/>
        </w:rPr>
        <w:t xml:space="preserve"> (industria cultural y creativa, </w:t>
      </w:r>
      <w:r w:rsidR="00206907">
        <w:rPr>
          <w:rFonts w:ascii="Times New Roman" w:hAnsi="Times New Roman"/>
          <w:bCs/>
        </w:rPr>
        <w:t>manufacturas de alto valor agregado</w:t>
      </w:r>
      <w:r w:rsidRPr="00DC76FF">
        <w:rPr>
          <w:rFonts w:ascii="Times New Roman" w:hAnsi="Times New Roman"/>
          <w:bCs/>
        </w:rPr>
        <w:t xml:space="preserve">, servicios </w:t>
      </w:r>
      <w:r w:rsidR="00206907">
        <w:rPr>
          <w:rFonts w:ascii="Times New Roman" w:hAnsi="Times New Roman"/>
          <w:bCs/>
        </w:rPr>
        <w:t>intensivos</w:t>
      </w:r>
      <w:r w:rsidRPr="00DC76FF">
        <w:rPr>
          <w:rFonts w:ascii="Times New Roman" w:hAnsi="Times New Roman"/>
          <w:bCs/>
        </w:rPr>
        <w:t xml:space="preserve"> en conocimiento</w:t>
      </w:r>
      <w:r w:rsidR="00206907">
        <w:rPr>
          <w:rFonts w:ascii="Times New Roman" w:hAnsi="Times New Roman"/>
          <w:bCs/>
        </w:rPr>
        <w:t>, ciencias de la vida y todas las relacionadas con el desarrollo de “Bogotá Ciudad Aeropuerto”</w:t>
      </w:r>
      <w:r w:rsidRPr="00DC76FF">
        <w:rPr>
          <w:rFonts w:ascii="Times New Roman" w:hAnsi="Times New Roman"/>
          <w:bCs/>
        </w:rPr>
        <w:t>), permitiéndoles acceder a procesos preferenciales de contratación, uso de espacios públicos para eventos o reconocimiento institucional por parte del Distrito</w:t>
      </w:r>
      <w:r w:rsidR="00AE5815">
        <w:rPr>
          <w:rFonts w:ascii="Times New Roman" w:hAnsi="Times New Roman"/>
          <w:bCs/>
        </w:rPr>
        <w:t xml:space="preserve"> a través del</w:t>
      </w:r>
      <w:r w:rsidR="00AE5815" w:rsidRPr="00DC76FF">
        <w:rPr>
          <w:rFonts w:ascii="Times New Roman" w:hAnsi="Times New Roman"/>
          <w:bCs/>
        </w:rPr>
        <w:t xml:space="preserve"> </w:t>
      </w:r>
      <w:r w:rsidR="00AE5815">
        <w:rPr>
          <w:rFonts w:ascii="Times New Roman" w:hAnsi="Times New Roman"/>
          <w:bCs/>
        </w:rPr>
        <w:t>s</w:t>
      </w:r>
      <w:r w:rsidR="00AE5815" w:rsidRPr="00DC76FF">
        <w:rPr>
          <w:rFonts w:ascii="Times New Roman" w:hAnsi="Times New Roman"/>
          <w:bCs/>
        </w:rPr>
        <w:t xml:space="preserve">ello </w:t>
      </w:r>
      <w:r w:rsidR="00AE5815">
        <w:rPr>
          <w:rFonts w:ascii="Times New Roman" w:hAnsi="Times New Roman"/>
          <w:bCs/>
        </w:rPr>
        <w:t xml:space="preserve">de </w:t>
      </w:r>
      <w:r w:rsidR="00AE5815" w:rsidRPr="00DC76FF">
        <w:rPr>
          <w:rFonts w:ascii="Times New Roman" w:hAnsi="Times New Roman"/>
          <w:bCs/>
        </w:rPr>
        <w:t>“Bogotá Invierte con Propósito</w:t>
      </w:r>
      <w:r w:rsidR="00AE5815">
        <w:rPr>
          <w:rFonts w:ascii="Times New Roman" w:hAnsi="Times New Roman"/>
          <w:bCs/>
        </w:rPr>
        <w:t>”</w:t>
      </w:r>
      <w:r w:rsidRPr="00DC76FF">
        <w:rPr>
          <w:rFonts w:ascii="Times New Roman" w:hAnsi="Times New Roman"/>
          <w:bCs/>
        </w:rPr>
        <w:t>.</w:t>
      </w:r>
    </w:p>
    <w:p w14:paraId="49011C7F" w14:textId="77777777" w:rsidR="00AE5815" w:rsidRPr="00DC76FF" w:rsidRDefault="00AE5815" w:rsidP="00DC76FF">
      <w:pPr>
        <w:rPr>
          <w:rFonts w:ascii="Times New Roman" w:hAnsi="Times New Roman"/>
          <w:b/>
          <w:bCs/>
        </w:rPr>
      </w:pPr>
    </w:p>
    <w:p w14:paraId="01F0EEBF" w14:textId="77777777" w:rsidR="005C6F2B" w:rsidRPr="005C6F2B" w:rsidRDefault="005C6F2B" w:rsidP="005C6F2B">
      <w:pPr>
        <w:pStyle w:val="Prrafodelista"/>
        <w:numPr>
          <w:ilvl w:val="0"/>
          <w:numId w:val="10"/>
        </w:numPr>
        <w:spacing w:after="240"/>
        <w:jc w:val="both"/>
        <w:rPr>
          <w:rFonts w:ascii="Times New Roman" w:hAnsi="Times New Roman"/>
          <w:b/>
          <w:bCs/>
        </w:rPr>
      </w:pPr>
      <w:r w:rsidRPr="005C6F2B">
        <w:rPr>
          <w:rFonts w:ascii="Times New Roman" w:hAnsi="Times New Roman"/>
          <w:b/>
          <w:bCs/>
        </w:rPr>
        <w:t>IMPACTO FISCAL</w:t>
      </w:r>
    </w:p>
    <w:p w14:paraId="158ADD73" w14:textId="0D9B1E9D" w:rsidR="00811587" w:rsidRPr="005C6F2B" w:rsidRDefault="005C6F2B" w:rsidP="005C6F2B">
      <w:pPr>
        <w:spacing w:after="240" w:line="276" w:lineRule="auto"/>
        <w:contextualSpacing/>
        <w:jc w:val="both"/>
        <w:rPr>
          <w:rFonts w:ascii="Times New Roman" w:hAnsi="Times New Roman"/>
          <w:lang w:val="es-CO" w:eastAsia="es-MX"/>
        </w:rPr>
      </w:pPr>
      <w:r w:rsidRPr="005C6F2B">
        <w:rPr>
          <w:rFonts w:ascii="Times New Roman" w:hAnsi="Times New Roman"/>
          <w:lang w:val="es-CO" w:eastAsia="es-MX"/>
        </w:rPr>
        <w:t>De conformidad con el artículo 7 de la Ley 819 de 2003, el presente proyecto de acuerdo no tiene impacto fiscal dado que no afecta el Marco Fiscal de Mediano Plazo. Los gastos que se generen por la presente iniciativa se entenderán que hacen parte de los programas y proyectos incluidos en los presupuestos de inversión anual y en el Plan Operativo Anual de Inversión de las entidades competentes, por lo que no requieren erogación o adición presupuestal alguna para el cumplimiento de los lineamientos planteados en el mismo.</w:t>
      </w:r>
    </w:p>
    <w:p w14:paraId="5CCB42B5" w14:textId="41A89527" w:rsidR="008531F1" w:rsidRDefault="008531F1" w:rsidP="005C6F2B">
      <w:pPr>
        <w:spacing w:after="240"/>
        <w:rPr>
          <w:rFonts w:ascii="Times New Roman" w:hAnsi="Times New Roman"/>
          <w:b/>
          <w:bCs/>
        </w:rPr>
      </w:pPr>
    </w:p>
    <w:p w14:paraId="7B6EDF84" w14:textId="61718360" w:rsidR="008531F1" w:rsidRDefault="008531F1" w:rsidP="005C6F2B">
      <w:pPr>
        <w:spacing w:after="240"/>
        <w:rPr>
          <w:rFonts w:ascii="Times New Roman" w:hAnsi="Times New Roman"/>
          <w:b/>
          <w:bCs/>
        </w:rPr>
      </w:pPr>
    </w:p>
    <w:p w14:paraId="3BE281C8" w14:textId="7BA0A447" w:rsidR="005C6F2B" w:rsidRPr="008531F1" w:rsidRDefault="005C6F2B" w:rsidP="008531F1">
      <w:pPr>
        <w:rPr>
          <w:rFonts w:ascii="Times New Roman" w:hAnsi="Times New Roman"/>
          <w:b/>
          <w:bCs/>
        </w:rPr>
      </w:pPr>
      <w:r w:rsidRPr="008531F1">
        <w:rPr>
          <w:rFonts w:ascii="Times New Roman" w:hAnsi="Times New Roman"/>
          <w:b/>
          <w:bCs/>
        </w:rPr>
        <w:t xml:space="preserve">MARCO ACOSTA RICO </w:t>
      </w:r>
    </w:p>
    <w:p w14:paraId="7B99A933" w14:textId="77777777" w:rsidR="005C6F2B" w:rsidRPr="008531F1" w:rsidRDefault="005C6F2B" w:rsidP="008531F1">
      <w:pPr>
        <w:rPr>
          <w:rFonts w:ascii="Times New Roman" w:hAnsi="Times New Roman"/>
          <w:bCs/>
        </w:rPr>
      </w:pPr>
      <w:r w:rsidRPr="008531F1">
        <w:rPr>
          <w:rFonts w:ascii="Times New Roman" w:hAnsi="Times New Roman"/>
          <w:bCs/>
        </w:rPr>
        <w:t xml:space="preserve">Concejal de Bogotá </w:t>
      </w:r>
    </w:p>
    <w:p w14:paraId="30CE7664" w14:textId="52D59F32" w:rsidR="008531F1" w:rsidRPr="008531F1" w:rsidRDefault="008531F1" w:rsidP="008531F1">
      <w:pPr>
        <w:rPr>
          <w:rFonts w:ascii="Times New Roman" w:hAnsi="Times New Roman"/>
          <w:bCs/>
        </w:rPr>
      </w:pPr>
      <w:r w:rsidRPr="008531F1">
        <w:rPr>
          <w:rFonts w:ascii="Times New Roman" w:hAnsi="Times New Roman"/>
          <w:bCs/>
        </w:rPr>
        <w:t>Partido Colombia Justa libre</w:t>
      </w:r>
    </w:p>
    <w:p w14:paraId="386EF52F" w14:textId="77777777" w:rsidR="006249B2" w:rsidRPr="005C6F2B" w:rsidRDefault="006249B2" w:rsidP="00747568">
      <w:pPr>
        <w:spacing w:after="240" w:line="276" w:lineRule="auto"/>
        <w:jc w:val="center"/>
        <w:rPr>
          <w:rFonts w:ascii="Times New Roman" w:eastAsia="Calibri" w:hAnsi="Times New Roman"/>
          <w:b/>
        </w:rPr>
      </w:pPr>
      <w:r w:rsidRPr="005C6F2B">
        <w:rPr>
          <w:rFonts w:ascii="Times New Roman" w:eastAsia="Calibri" w:hAnsi="Times New Roman"/>
          <w:b/>
        </w:rPr>
        <w:t>PROYECTO DE ACUERDO ____________ DE 2025</w:t>
      </w:r>
    </w:p>
    <w:p w14:paraId="528395CC" w14:textId="2F966CEC" w:rsidR="00EA142C" w:rsidRPr="006D54A8" w:rsidRDefault="00EA142C" w:rsidP="00EA142C">
      <w:pPr>
        <w:spacing w:after="240" w:line="276" w:lineRule="auto"/>
        <w:jc w:val="center"/>
        <w:rPr>
          <w:rFonts w:ascii="Times New Roman" w:hAnsi="Times New Roman"/>
          <w:b/>
          <w:bCs/>
        </w:rPr>
      </w:pPr>
      <w:r w:rsidRPr="005C6F2B">
        <w:rPr>
          <w:rFonts w:ascii="Times New Roman" w:hAnsi="Times New Roman"/>
          <w:b/>
          <w:bCs/>
        </w:rPr>
        <w:t xml:space="preserve">POR MEDIO DEL CUAL SE </w:t>
      </w:r>
      <w:r>
        <w:rPr>
          <w:rFonts w:ascii="Times New Roman" w:hAnsi="Times New Roman"/>
          <w:b/>
          <w:bCs/>
        </w:rPr>
        <w:t>PROMUEVE EL CRECIMIENTO, LA FORMALIZACIÓN Y LA ESCALABILIDAD DEL TEJIDO EMPRESARIAL Y EL ECOSISTEMA EMPRENDEDOR DEL DISTRITO CAPITAL.</w:t>
      </w:r>
    </w:p>
    <w:p w14:paraId="6A21751A" w14:textId="2E8E9928" w:rsidR="006249B2" w:rsidRPr="005C6F2B" w:rsidRDefault="006249B2" w:rsidP="00747568">
      <w:pPr>
        <w:spacing w:after="240" w:line="276" w:lineRule="auto"/>
        <w:jc w:val="center"/>
        <w:rPr>
          <w:rFonts w:ascii="Times New Roman" w:eastAsia="Calibri" w:hAnsi="Times New Roman"/>
          <w:b/>
          <w:bCs/>
          <w:highlight w:val="white"/>
        </w:rPr>
      </w:pPr>
      <w:r>
        <w:rPr>
          <w:rFonts w:ascii="Times New Roman" w:eastAsia="Calibri" w:hAnsi="Times New Roman"/>
          <w:b/>
          <w:bCs/>
          <w:highlight w:val="white"/>
        </w:rPr>
        <w:t>EL CONCEJO DE BOGOTÁ, DISTRITO CAPITAL</w:t>
      </w:r>
      <w:r w:rsidR="00CF6E20">
        <w:rPr>
          <w:rFonts w:ascii="Times New Roman" w:eastAsia="Calibri" w:hAnsi="Times New Roman"/>
          <w:b/>
          <w:bCs/>
          <w:highlight w:val="white"/>
        </w:rPr>
        <w:t>,</w:t>
      </w:r>
    </w:p>
    <w:p w14:paraId="209646CE" w14:textId="77777777" w:rsidR="006249B2" w:rsidRPr="005C6F2B" w:rsidRDefault="006249B2" w:rsidP="00747568">
      <w:pPr>
        <w:spacing w:after="240" w:line="276" w:lineRule="auto"/>
        <w:jc w:val="center"/>
        <w:rPr>
          <w:rFonts w:ascii="Times New Roman" w:eastAsia="Calibri" w:hAnsi="Times New Roman"/>
          <w:highlight w:val="white"/>
        </w:rPr>
      </w:pPr>
      <w:r>
        <w:rPr>
          <w:rFonts w:ascii="Times New Roman" w:eastAsia="Calibri" w:hAnsi="Times New Roman"/>
          <w:highlight w:val="white"/>
        </w:rPr>
        <w:t>E</w:t>
      </w:r>
      <w:r w:rsidRPr="005C6F2B">
        <w:rPr>
          <w:rFonts w:ascii="Times New Roman" w:eastAsia="Calibri" w:hAnsi="Times New Roman"/>
          <w:highlight w:val="white"/>
        </w:rPr>
        <w:t xml:space="preserve">n </w:t>
      </w:r>
      <w:r>
        <w:rPr>
          <w:rFonts w:ascii="Times New Roman" w:eastAsia="Calibri" w:hAnsi="Times New Roman"/>
          <w:highlight w:val="white"/>
        </w:rPr>
        <w:t>ejercicio</w:t>
      </w:r>
      <w:r w:rsidRPr="005C6F2B">
        <w:rPr>
          <w:rFonts w:ascii="Times New Roman" w:eastAsia="Calibri" w:hAnsi="Times New Roman"/>
          <w:highlight w:val="white"/>
        </w:rPr>
        <w:t xml:space="preserve"> de sus </w:t>
      </w:r>
      <w:r>
        <w:rPr>
          <w:rFonts w:ascii="Times New Roman" w:eastAsia="Calibri" w:hAnsi="Times New Roman"/>
          <w:highlight w:val="white"/>
        </w:rPr>
        <w:t>facultades Constitucionales y L</w:t>
      </w:r>
      <w:r w:rsidRPr="005C6F2B">
        <w:rPr>
          <w:rFonts w:ascii="Times New Roman" w:eastAsia="Calibri" w:hAnsi="Times New Roman"/>
          <w:highlight w:val="white"/>
        </w:rPr>
        <w:t>egales</w:t>
      </w:r>
      <w:r>
        <w:rPr>
          <w:rFonts w:ascii="Times New Roman" w:eastAsia="Calibri" w:hAnsi="Times New Roman"/>
          <w:highlight w:val="white"/>
        </w:rPr>
        <w:t xml:space="preserve">, </w:t>
      </w:r>
      <w:r w:rsidRPr="005C6F2B">
        <w:rPr>
          <w:rFonts w:ascii="Times New Roman" w:eastAsia="Calibri" w:hAnsi="Times New Roman"/>
          <w:highlight w:val="white"/>
        </w:rPr>
        <w:t xml:space="preserve">en especial las </w:t>
      </w:r>
      <w:r>
        <w:rPr>
          <w:rFonts w:ascii="Times New Roman" w:eastAsia="Calibri" w:hAnsi="Times New Roman"/>
          <w:highlight w:val="white"/>
        </w:rPr>
        <w:t>consagradas</w:t>
      </w:r>
      <w:r w:rsidRPr="005C6F2B">
        <w:rPr>
          <w:rFonts w:ascii="Times New Roman" w:eastAsia="Calibri" w:hAnsi="Times New Roman"/>
          <w:highlight w:val="white"/>
        </w:rPr>
        <w:t xml:space="preserve"> por </w:t>
      </w:r>
      <w:r>
        <w:rPr>
          <w:rFonts w:ascii="Times New Roman" w:eastAsia="Calibri" w:hAnsi="Times New Roman"/>
          <w:highlight w:val="white"/>
        </w:rPr>
        <w:t xml:space="preserve">los </w:t>
      </w:r>
      <w:r w:rsidRPr="005C6F2B">
        <w:rPr>
          <w:rFonts w:ascii="Times New Roman" w:eastAsia="Calibri" w:hAnsi="Times New Roman"/>
          <w:highlight w:val="white"/>
        </w:rPr>
        <w:t>numeral</w:t>
      </w:r>
      <w:r>
        <w:rPr>
          <w:rFonts w:ascii="Times New Roman" w:eastAsia="Calibri" w:hAnsi="Times New Roman"/>
          <w:highlight w:val="white"/>
        </w:rPr>
        <w:t>es</w:t>
      </w:r>
      <w:r w:rsidRPr="005C6F2B">
        <w:rPr>
          <w:rFonts w:ascii="Times New Roman" w:eastAsia="Calibri" w:hAnsi="Times New Roman"/>
          <w:highlight w:val="white"/>
        </w:rPr>
        <w:t xml:space="preserve"> 1 </w:t>
      </w:r>
      <w:r>
        <w:rPr>
          <w:rFonts w:ascii="Times New Roman" w:eastAsia="Calibri" w:hAnsi="Times New Roman"/>
          <w:highlight w:val="white"/>
        </w:rPr>
        <w:t xml:space="preserve">y 3 </w:t>
      </w:r>
      <w:r w:rsidRPr="005C6F2B">
        <w:rPr>
          <w:rFonts w:ascii="Times New Roman" w:eastAsia="Calibri" w:hAnsi="Times New Roman"/>
          <w:highlight w:val="white"/>
        </w:rPr>
        <w:t>del artículo 12 del Decreto Ley 1421 de 1993,</w:t>
      </w:r>
    </w:p>
    <w:p w14:paraId="14168644" w14:textId="77777777" w:rsidR="00C03F8A" w:rsidRDefault="006249B2" w:rsidP="00747568">
      <w:pPr>
        <w:spacing w:after="240" w:line="276" w:lineRule="auto"/>
        <w:jc w:val="center"/>
        <w:rPr>
          <w:rFonts w:ascii="Times New Roman" w:eastAsia="Calibri" w:hAnsi="Times New Roman"/>
          <w:b/>
          <w:bCs/>
          <w:highlight w:val="white"/>
        </w:rPr>
      </w:pPr>
      <w:r w:rsidRPr="005C6F2B">
        <w:rPr>
          <w:rFonts w:ascii="Times New Roman" w:eastAsia="Calibri" w:hAnsi="Times New Roman"/>
          <w:b/>
          <w:bCs/>
          <w:highlight w:val="white"/>
        </w:rPr>
        <w:t>ACUERDA:</w:t>
      </w:r>
    </w:p>
    <w:p w14:paraId="36A7E7AE" w14:textId="5D46E370" w:rsidR="006249B2" w:rsidRPr="00405240" w:rsidRDefault="006249B2" w:rsidP="00747568">
      <w:pPr>
        <w:spacing w:after="240" w:line="276" w:lineRule="auto"/>
        <w:jc w:val="both"/>
        <w:rPr>
          <w:rFonts w:ascii="Times New Roman" w:hAnsi="Times New Roman"/>
          <w:bCs/>
        </w:rPr>
      </w:pPr>
      <w:r w:rsidRPr="005C6F2B">
        <w:rPr>
          <w:rFonts w:ascii="Times New Roman" w:eastAsia="Calibri" w:hAnsi="Times New Roman"/>
          <w:b/>
          <w:highlight w:val="white"/>
        </w:rPr>
        <w:t>Artículo 1. Objeto</w:t>
      </w:r>
      <w:r w:rsidRPr="005C6F2B">
        <w:rPr>
          <w:rFonts w:ascii="Times New Roman" w:eastAsia="Calibri" w:hAnsi="Times New Roman"/>
          <w:highlight w:val="white"/>
        </w:rPr>
        <w:t xml:space="preserve">. </w:t>
      </w:r>
      <w:r w:rsidR="00405240">
        <w:rPr>
          <w:rFonts w:ascii="Times New Roman" w:hAnsi="Times New Roman"/>
          <w:bCs/>
        </w:rPr>
        <w:t>Promover</w:t>
      </w:r>
      <w:r w:rsidR="00405240" w:rsidRPr="006D54A8">
        <w:rPr>
          <w:rFonts w:ascii="Times New Roman" w:hAnsi="Times New Roman"/>
          <w:bCs/>
        </w:rPr>
        <w:t xml:space="preserve"> el crecimiento, </w:t>
      </w:r>
      <w:r w:rsidR="00405240">
        <w:rPr>
          <w:rFonts w:ascii="Times New Roman" w:hAnsi="Times New Roman"/>
          <w:bCs/>
        </w:rPr>
        <w:t>la f</w:t>
      </w:r>
      <w:r w:rsidR="00405240" w:rsidRPr="006D54A8">
        <w:rPr>
          <w:rFonts w:ascii="Times New Roman" w:hAnsi="Times New Roman"/>
          <w:bCs/>
        </w:rPr>
        <w:t xml:space="preserve">ormalización y </w:t>
      </w:r>
      <w:r w:rsidR="00405240">
        <w:rPr>
          <w:rFonts w:ascii="Times New Roman" w:hAnsi="Times New Roman"/>
          <w:bCs/>
        </w:rPr>
        <w:t xml:space="preserve">la </w:t>
      </w:r>
      <w:r w:rsidR="00405240" w:rsidRPr="006D54A8">
        <w:rPr>
          <w:rFonts w:ascii="Times New Roman" w:hAnsi="Times New Roman"/>
          <w:bCs/>
        </w:rPr>
        <w:t>escalabilidad del tejido empresarial</w:t>
      </w:r>
      <w:r w:rsidR="00405240">
        <w:rPr>
          <w:rFonts w:ascii="Times New Roman" w:hAnsi="Times New Roman"/>
          <w:bCs/>
        </w:rPr>
        <w:t xml:space="preserve"> y el ecosistema emprendedor del</w:t>
      </w:r>
      <w:r w:rsidR="00405240" w:rsidRPr="006D54A8">
        <w:rPr>
          <w:rFonts w:ascii="Times New Roman" w:hAnsi="Times New Roman"/>
          <w:bCs/>
        </w:rPr>
        <w:t xml:space="preserve"> </w:t>
      </w:r>
      <w:r w:rsidR="00405240">
        <w:rPr>
          <w:rFonts w:ascii="Times New Roman" w:hAnsi="Times New Roman"/>
          <w:bCs/>
        </w:rPr>
        <w:t>D</w:t>
      </w:r>
      <w:r w:rsidR="00405240" w:rsidRPr="006D54A8">
        <w:rPr>
          <w:rFonts w:ascii="Times New Roman" w:hAnsi="Times New Roman"/>
          <w:bCs/>
        </w:rPr>
        <w:t>istrit</w:t>
      </w:r>
      <w:r w:rsidR="00405240">
        <w:rPr>
          <w:rFonts w:ascii="Times New Roman" w:hAnsi="Times New Roman"/>
          <w:bCs/>
        </w:rPr>
        <w:t xml:space="preserve">o Capital, mediante la consolidación de </w:t>
      </w:r>
      <w:r w:rsidR="00405240" w:rsidRPr="006D54A8">
        <w:rPr>
          <w:rFonts w:ascii="Times New Roman" w:hAnsi="Times New Roman"/>
          <w:bCs/>
        </w:rPr>
        <w:t xml:space="preserve">un entorno institucional, cultural y financiero </w:t>
      </w:r>
      <w:r w:rsidR="00405240">
        <w:rPr>
          <w:rFonts w:ascii="Times New Roman" w:hAnsi="Times New Roman"/>
          <w:bCs/>
        </w:rPr>
        <w:t>que dinamice las fuentes de financiación para emprendedores y empresarios en la ciudad, a través de</w:t>
      </w:r>
      <w:r w:rsidR="00405240" w:rsidRPr="006D54A8">
        <w:rPr>
          <w:rFonts w:ascii="Times New Roman" w:hAnsi="Times New Roman"/>
          <w:bCs/>
        </w:rPr>
        <w:t xml:space="preserve"> Fondos de Inversión Colectiva y la industria de capital privado</w:t>
      </w:r>
      <w:r w:rsidR="00405240">
        <w:rPr>
          <w:rFonts w:ascii="Times New Roman" w:hAnsi="Times New Roman"/>
          <w:bCs/>
        </w:rPr>
        <w:t>.</w:t>
      </w:r>
    </w:p>
    <w:p w14:paraId="626FC6AA" w14:textId="77777777" w:rsidR="006249B2" w:rsidRDefault="006249B2" w:rsidP="00747568">
      <w:pPr>
        <w:spacing w:after="240" w:line="276" w:lineRule="auto"/>
        <w:jc w:val="both"/>
        <w:rPr>
          <w:rFonts w:ascii="Times New Roman" w:hAnsi="Times New Roman"/>
          <w:bCs/>
        </w:rPr>
      </w:pPr>
      <w:r w:rsidRPr="005C6F2B">
        <w:rPr>
          <w:rFonts w:ascii="Times New Roman" w:hAnsi="Times New Roman"/>
          <w:b/>
          <w:bCs/>
        </w:rPr>
        <w:t>Artículo</w:t>
      </w:r>
      <w:r>
        <w:rPr>
          <w:rFonts w:ascii="Times New Roman" w:hAnsi="Times New Roman"/>
          <w:b/>
          <w:bCs/>
        </w:rPr>
        <w:t xml:space="preserve"> 2. </w:t>
      </w:r>
      <w:r w:rsidRPr="006249B2">
        <w:rPr>
          <w:rFonts w:ascii="Times New Roman" w:hAnsi="Times New Roman"/>
          <w:b/>
          <w:bCs/>
        </w:rPr>
        <w:t xml:space="preserve">Definiciones. </w:t>
      </w:r>
      <w:r w:rsidRPr="006249B2">
        <w:rPr>
          <w:rFonts w:ascii="Times New Roman" w:hAnsi="Times New Roman"/>
          <w:bCs/>
        </w:rPr>
        <w:t>Para</w:t>
      </w:r>
      <w:r w:rsidRPr="00874820">
        <w:rPr>
          <w:rFonts w:ascii="Times New Roman" w:hAnsi="Times New Roman"/>
          <w:bCs/>
        </w:rPr>
        <w:t xml:space="preserve"> la ejecución del presente acuerdo se tendrán en cuenta las siguientes definiciones:</w:t>
      </w:r>
    </w:p>
    <w:p w14:paraId="75255A65" w14:textId="77777777" w:rsidR="006249B2" w:rsidRPr="003C1A9D" w:rsidRDefault="006249B2" w:rsidP="00747568">
      <w:pPr>
        <w:spacing w:after="240" w:line="276" w:lineRule="auto"/>
        <w:jc w:val="both"/>
        <w:rPr>
          <w:rFonts w:ascii="Times New Roman" w:hAnsi="Times New Roman"/>
          <w:bCs/>
        </w:rPr>
      </w:pPr>
      <w:r>
        <w:rPr>
          <w:rFonts w:ascii="Times New Roman" w:hAnsi="Times New Roman"/>
          <w:b/>
          <w:bCs/>
        </w:rPr>
        <w:t xml:space="preserve">Fuentes de Financiación No Tradicionales: </w:t>
      </w:r>
      <w:r>
        <w:rPr>
          <w:rFonts w:ascii="Times New Roman" w:hAnsi="Times New Roman"/>
          <w:bCs/>
        </w:rPr>
        <w:t xml:space="preserve">Todo mecanismo o </w:t>
      </w:r>
      <w:r w:rsidRPr="00A7601A">
        <w:rPr>
          <w:rFonts w:ascii="Times New Roman" w:hAnsi="Times New Roman"/>
          <w:bCs/>
        </w:rPr>
        <w:t>vehículo de</w:t>
      </w:r>
      <w:r>
        <w:rPr>
          <w:rFonts w:ascii="Times New Roman" w:hAnsi="Times New Roman"/>
          <w:bCs/>
        </w:rPr>
        <w:t xml:space="preserve"> financiación en capital y/o deuda mediante los cuales se ofertan servicios financieros alternativos al crédito ofertado por la banca comercial tradicional.</w:t>
      </w:r>
    </w:p>
    <w:p w14:paraId="3509D173" w14:textId="77777777" w:rsidR="006249B2" w:rsidRDefault="006249B2" w:rsidP="00747568">
      <w:pPr>
        <w:spacing w:after="240" w:line="276" w:lineRule="auto"/>
        <w:jc w:val="both"/>
        <w:rPr>
          <w:rFonts w:ascii="Times New Roman" w:hAnsi="Times New Roman"/>
          <w:b/>
          <w:bCs/>
        </w:rPr>
      </w:pPr>
      <w:r w:rsidRPr="00874820">
        <w:rPr>
          <w:rFonts w:ascii="Times New Roman" w:hAnsi="Times New Roman"/>
          <w:b/>
          <w:bCs/>
        </w:rPr>
        <w:t>Fondo</w:t>
      </w:r>
      <w:r>
        <w:rPr>
          <w:rFonts w:ascii="Times New Roman" w:hAnsi="Times New Roman"/>
          <w:b/>
          <w:bCs/>
        </w:rPr>
        <w:t>s</w:t>
      </w:r>
      <w:r w:rsidRPr="00874820">
        <w:rPr>
          <w:rFonts w:ascii="Times New Roman" w:hAnsi="Times New Roman"/>
          <w:b/>
          <w:bCs/>
        </w:rPr>
        <w:t xml:space="preserve"> de Inversión Colectiva</w:t>
      </w:r>
      <w:r>
        <w:rPr>
          <w:rFonts w:ascii="Times New Roman" w:hAnsi="Times New Roman"/>
          <w:b/>
          <w:bCs/>
        </w:rPr>
        <w:t xml:space="preserve"> (FICs)</w:t>
      </w:r>
      <w:r w:rsidRPr="00874820">
        <w:rPr>
          <w:rFonts w:ascii="Times New Roman" w:hAnsi="Times New Roman"/>
          <w:b/>
          <w:bCs/>
        </w:rPr>
        <w:t>:</w:t>
      </w:r>
      <w:r>
        <w:rPr>
          <w:rFonts w:ascii="Times New Roman" w:hAnsi="Times New Roman"/>
          <w:b/>
          <w:bCs/>
        </w:rPr>
        <w:t xml:space="preserve"> </w:t>
      </w:r>
      <w:r>
        <w:rPr>
          <w:rFonts w:ascii="Times New Roman" w:hAnsi="Times New Roman"/>
          <w:bCs/>
        </w:rPr>
        <w:t>T</w:t>
      </w:r>
      <w:r w:rsidRPr="00A7601A">
        <w:rPr>
          <w:rFonts w:ascii="Times New Roman" w:hAnsi="Times New Roman"/>
          <w:bCs/>
        </w:rPr>
        <w:t>odo mecanismo o vehículo de captación o administración de sumas de dinero u otros activos, integrado con el aporte de un número plural de personas determinables una vez el fondo entre en operación, recursos que serán gestionados de manera colectiva para obtener resultados económicos también colectivos.</w:t>
      </w:r>
    </w:p>
    <w:p w14:paraId="54B4ECE3" w14:textId="77777777" w:rsidR="006249B2" w:rsidRDefault="006249B2" w:rsidP="00747568">
      <w:pPr>
        <w:spacing w:after="240" w:line="276" w:lineRule="auto"/>
        <w:jc w:val="both"/>
        <w:rPr>
          <w:rFonts w:ascii="Times New Roman" w:hAnsi="Times New Roman"/>
          <w:b/>
          <w:bCs/>
        </w:rPr>
      </w:pPr>
      <w:r>
        <w:rPr>
          <w:rFonts w:ascii="Times New Roman" w:hAnsi="Times New Roman"/>
          <w:b/>
          <w:bCs/>
        </w:rPr>
        <w:t>Fondos de Capital Privado:</w:t>
      </w:r>
      <w:r w:rsidRPr="003C1A9D">
        <w:t xml:space="preserve"> </w:t>
      </w:r>
      <w:r w:rsidRPr="003C1A9D">
        <w:rPr>
          <w:rFonts w:ascii="Times New Roman" w:hAnsi="Times New Roman"/>
        </w:rPr>
        <w:t>Vehículo de inversión especialmente dise</w:t>
      </w:r>
      <w:r>
        <w:rPr>
          <w:rFonts w:ascii="Times New Roman" w:hAnsi="Times New Roman"/>
        </w:rPr>
        <w:t>ñado según la normativa vigente</w:t>
      </w:r>
      <w:r w:rsidRPr="003C1A9D">
        <w:rPr>
          <w:rFonts w:ascii="Times New Roman" w:hAnsi="Times New Roman"/>
        </w:rPr>
        <w:t xml:space="preserve"> y el perfil de sus inversionistas, administrado por un equipo profesional con el fin de realizar inversiones de capital en empresas que no cotizan en bolsa de valores</w:t>
      </w:r>
      <w:r>
        <w:rPr>
          <w:rFonts w:ascii="Times New Roman" w:hAnsi="Times New Roman"/>
        </w:rPr>
        <w:t>. Mecanismo de inversión colectiva con el objetivo de adquirir participaciones en empresas privadas o proyectos público-privados para fomentar su desarrollo y escalabilidad en un plazo determinado. H</w:t>
      </w:r>
      <w:r w:rsidRPr="003C1A9D">
        <w:rPr>
          <w:rFonts w:ascii="Times New Roman" w:hAnsi="Times New Roman"/>
        </w:rPr>
        <w:t>erramienta para el fortalecimiento patrimonial de las empresas no listadas en la bolsa de valores.</w:t>
      </w:r>
    </w:p>
    <w:p w14:paraId="3BF09E93" w14:textId="77777777" w:rsidR="006249B2" w:rsidRPr="003C1A9D" w:rsidRDefault="006249B2" w:rsidP="00747568">
      <w:pPr>
        <w:spacing w:after="240" w:line="276" w:lineRule="auto"/>
        <w:jc w:val="both"/>
        <w:rPr>
          <w:rFonts w:ascii="Times New Roman" w:hAnsi="Times New Roman"/>
          <w:bCs/>
        </w:rPr>
      </w:pPr>
      <w:r>
        <w:rPr>
          <w:rFonts w:ascii="Times New Roman" w:hAnsi="Times New Roman"/>
          <w:b/>
          <w:bCs/>
        </w:rPr>
        <w:t xml:space="preserve">Fondos de Capital de Riesgo: </w:t>
      </w:r>
      <w:r>
        <w:rPr>
          <w:rFonts w:ascii="Times New Roman" w:hAnsi="Times New Roman"/>
          <w:bCs/>
        </w:rPr>
        <w:t>Vehículos de inversión</w:t>
      </w:r>
      <w:r w:rsidRPr="003C1A9D">
        <w:rPr>
          <w:rFonts w:ascii="Times New Roman" w:hAnsi="Times New Roman"/>
          <w:bCs/>
        </w:rPr>
        <w:t xml:space="preserve"> que recaudan capital de inversores institucionales y particulares para invertir en empresas que están en sus primeras etapas de desarrollo o en etapas de crecimiento acelerado</w:t>
      </w:r>
      <w:r>
        <w:rPr>
          <w:rFonts w:ascii="Times New Roman" w:hAnsi="Times New Roman"/>
          <w:bCs/>
        </w:rPr>
        <w:t xml:space="preserve"> y </w:t>
      </w:r>
      <w:r w:rsidRPr="003C1A9D">
        <w:rPr>
          <w:rFonts w:ascii="Times New Roman" w:hAnsi="Times New Roman"/>
          <w:bCs/>
        </w:rPr>
        <w:t>que aún no cotizan en bolsa.</w:t>
      </w:r>
    </w:p>
    <w:p w14:paraId="19004CA4" w14:textId="77777777" w:rsidR="006249B2" w:rsidRPr="00E00269" w:rsidRDefault="006249B2" w:rsidP="00747568">
      <w:pPr>
        <w:spacing w:after="240" w:line="276" w:lineRule="auto"/>
        <w:jc w:val="both"/>
        <w:rPr>
          <w:rFonts w:ascii="Times New Roman" w:hAnsi="Times New Roman"/>
          <w:bCs/>
        </w:rPr>
      </w:pPr>
      <w:r>
        <w:rPr>
          <w:rFonts w:ascii="Times New Roman" w:hAnsi="Times New Roman"/>
          <w:b/>
          <w:bCs/>
        </w:rPr>
        <w:t xml:space="preserve">Capital Semilla: </w:t>
      </w:r>
      <w:r w:rsidRPr="00E00269">
        <w:rPr>
          <w:rFonts w:ascii="Times New Roman" w:hAnsi="Times New Roman"/>
          <w:bCs/>
        </w:rPr>
        <w:t>Capital orientado a financiar la primera etapa de un negocio, utilizado para investigar, probar y desarrollar un concepto inicial. Inversión antes que haya un producto o compañía real organizada. Primera ronda de capital para un negocio que apenas arranca.</w:t>
      </w:r>
    </w:p>
    <w:p w14:paraId="3B88DDE2" w14:textId="77777777" w:rsidR="006249B2" w:rsidRPr="00DF6601" w:rsidRDefault="006249B2" w:rsidP="00747568">
      <w:pPr>
        <w:spacing w:after="240" w:line="276" w:lineRule="auto"/>
        <w:jc w:val="both"/>
        <w:rPr>
          <w:rFonts w:ascii="Times New Roman" w:hAnsi="Times New Roman"/>
          <w:bCs/>
        </w:rPr>
      </w:pPr>
      <w:r>
        <w:rPr>
          <w:rFonts w:ascii="Times New Roman" w:hAnsi="Times New Roman"/>
          <w:b/>
          <w:bCs/>
        </w:rPr>
        <w:t xml:space="preserve">Ángeles Inversionistas: </w:t>
      </w:r>
      <w:r>
        <w:rPr>
          <w:rFonts w:ascii="Times New Roman" w:hAnsi="Times New Roman"/>
          <w:bCs/>
        </w:rPr>
        <w:t>Individuo o grupo de individuos que buscan financiar proyectos empresariales a través de su capital, asesoría, mentoría experimentada y acompañamiento continuo como socios del emprendimiento o proyecto de inversión.</w:t>
      </w:r>
    </w:p>
    <w:p w14:paraId="0CB50AAF" w14:textId="77777777" w:rsidR="006249B2" w:rsidRDefault="006249B2" w:rsidP="00747568">
      <w:pPr>
        <w:spacing w:after="240" w:line="276" w:lineRule="auto"/>
        <w:jc w:val="both"/>
        <w:rPr>
          <w:rFonts w:ascii="Times New Roman" w:hAnsi="Times New Roman"/>
          <w:b/>
          <w:bCs/>
        </w:rPr>
      </w:pPr>
      <w:r>
        <w:rPr>
          <w:rFonts w:ascii="Times New Roman" w:hAnsi="Times New Roman"/>
          <w:b/>
          <w:bCs/>
        </w:rPr>
        <w:t xml:space="preserve">Aceleradoras de Empresas: </w:t>
      </w:r>
      <w:r w:rsidRPr="009F092C">
        <w:rPr>
          <w:rFonts w:ascii="Times New Roman" w:hAnsi="Times New Roman"/>
          <w:bCs/>
        </w:rPr>
        <w:t>O</w:t>
      </w:r>
      <w:r>
        <w:rPr>
          <w:rFonts w:ascii="Times New Roman" w:hAnsi="Times New Roman"/>
          <w:bCs/>
        </w:rPr>
        <w:t>rganizacio</w:t>
      </w:r>
      <w:r w:rsidRPr="009F092C">
        <w:rPr>
          <w:rFonts w:ascii="Times New Roman" w:hAnsi="Times New Roman"/>
          <w:bCs/>
        </w:rPr>
        <w:t>n</w:t>
      </w:r>
      <w:r>
        <w:rPr>
          <w:rFonts w:ascii="Times New Roman" w:hAnsi="Times New Roman"/>
          <w:bCs/>
        </w:rPr>
        <w:t>es</w:t>
      </w:r>
      <w:r w:rsidRPr="009F092C">
        <w:rPr>
          <w:rFonts w:ascii="Times New Roman" w:hAnsi="Times New Roman"/>
          <w:bCs/>
        </w:rPr>
        <w:t xml:space="preserve"> que </w:t>
      </w:r>
      <w:r>
        <w:rPr>
          <w:rFonts w:ascii="Times New Roman" w:hAnsi="Times New Roman"/>
          <w:bCs/>
        </w:rPr>
        <w:t>brindan asesoría para</w:t>
      </w:r>
      <w:r w:rsidRPr="009F092C">
        <w:rPr>
          <w:rFonts w:ascii="Times New Roman" w:hAnsi="Times New Roman"/>
          <w:bCs/>
        </w:rPr>
        <w:t xml:space="preserve"> impulsar ideas y startups en fases tempranas </w:t>
      </w:r>
      <w:r>
        <w:rPr>
          <w:rFonts w:ascii="Times New Roman" w:hAnsi="Times New Roman"/>
          <w:bCs/>
        </w:rPr>
        <w:t>con el objetivo de</w:t>
      </w:r>
      <w:r w:rsidRPr="009F092C">
        <w:rPr>
          <w:rFonts w:ascii="Times New Roman" w:hAnsi="Times New Roman"/>
          <w:bCs/>
        </w:rPr>
        <w:t xml:space="preserve"> acelerar su crecimiento y prepararse adecuadamente para dirigirse a inversores con una idea de negocio probada.</w:t>
      </w:r>
      <w:r>
        <w:rPr>
          <w:rFonts w:ascii="Times New Roman" w:hAnsi="Times New Roman"/>
          <w:bCs/>
        </w:rPr>
        <w:t xml:space="preserve"> Compañías y organizaciones que ofertan p</w:t>
      </w:r>
      <w:r w:rsidRPr="009F092C">
        <w:rPr>
          <w:rFonts w:ascii="Times New Roman" w:hAnsi="Times New Roman"/>
          <w:bCs/>
        </w:rPr>
        <w:t>rograma</w:t>
      </w:r>
      <w:r>
        <w:rPr>
          <w:rFonts w:ascii="Times New Roman" w:hAnsi="Times New Roman"/>
          <w:bCs/>
        </w:rPr>
        <w:t>s</w:t>
      </w:r>
      <w:r w:rsidRPr="009F092C">
        <w:rPr>
          <w:rFonts w:ascii="Times New Roman" w:hAnsi="Times New Roman"/>
          <w:bCs/>
        </w:rPr>
        <w:t xml:space="preserve"> intensivo</w:t>
      </w:r>
      <w:r>
        <w:rPr>
          <w:rFonts w:ascii="Times New Roman" w:hAnsi="Times New Roman"/>
          <w:bCs/>
        </w:rPr>
        <w:t>s</w:t>
      </w:r>
      <w:r w:rsidRPr="009F092C">
        <w:rPr>
          <w:rFonts w:ascii="Times New Roman" w:hAnsi="Times New Roman"/>
          <w:bCs/>
        </w:rPr>
        <w:t xml:space="preserve"> de ayuda </w:t>
      </w:r>
      <w:r>
        <w:rPr>
          <w:rFonts w:ascii="Times New Roman" w:hAnsi="Times New Roman"/>
          <w:bCs/>
        </w:rPr>
        <w:t>y asesoría a</w:t>
      </w:r>
      <w:r w:rsidRPr="009F092C">
        <w:rPr>
          <w:rFonts w:ascii="Times New Roman" w:hAnsi="Times New Roman"/>
          <w:bCs/>
        </w:rPr>
        <w:t xml:space="preserve"> emprendedores </w:t>
      </w:r>
      <w:r>
        <w:rPr>
          <w:rFonts w:ascii="Times New Roman" w:hAnsi="Times New Roman"/>
          <w:bCs/>
        </w:rPr>
        <w:t>en los cuales</w:t>
      </w:r>
      <w:r w:rsidRPr="009F092C">
        <w:rPr>
          <w:rFonts w:ascii="Times New Roman" w:hAnsi="Times New Roman"/>
          <w:bCs/>
        </w:rPr>
        <w:t xml:space="preserve">, al finalizar, </w:t>
      </w:r>
      <w:r>
        <w:rPr>
          <w:rFonts w:ascii="Times New Roman" w:hAnsi="Times New Roman"/>
          <w:bCs/>
        </w:rPr>
        <w:t>se presenta a inversionistas</w:t>
      </w:r>
      <w:r w:rsidRPr="009F092C">
        <w:rPr>
          <w:rFonts w:ascii="Times New Roman" w:hAnsi="Times New Roman"/>
          <w:bCs/>
        </w:rPr>
        <w:t xml:space="preserve"> </w:t>
      </w:r>
      <w:r>
        <w:rPr>
          <w:rFonts w:ascii="Times New Roman" w:hAnsi="Times New Roman"/>
          <w:bCs/>
        </w:rPr>
        <w:t>los</w:t>
      </w:r>
      <w:r w:rsidRPr="009F092C">
        <w:rPr>
          <w:rFonts w:ascii="Times New Roman" w:hAnsi="Times New Roman"/>
          <w:bCs/>
        </w:rPr>
        <w:t xml:space="preserve"> proyecto</w:t>
      </w:r>
      <w:r>
        <w:rPr>
          <w:rFonts w:ascii="Times New Roman" w:hAnsi="Times New Roman"/>
          <w:bCs/>
        </w:rPr>
        <w:t>s</w:t>
      </w:r>
      <w:r w:rsidRPr="009F092C">
        <w:rPr>
          <w:rFonts w:ascii="Times New Roman" w:hAnsi="Times New Roman"/>
          <w:bCs/>
        </w:rPr>
        <w:t xml:space="preserve"> </w:t>
      </w:r>
      <w:r>
        <w:rPr>
          <w:rFonts w:ascii="Times New Roman" w:hAnsi="Times New Roman"/>
          <w:bCs/>
        </w:rPr>
        <w:t>para su aprobación y graduación</w:t>
      </w:r>
      <w:r w:rsidRPr="009F092C">
        <w:rPr>
          <w:rFonts w:ascii="Times New Roman" w:hAnsi="Times New Roman"/>
          <w:bCs/>
        </w:rPr>
        <w:t>.</w:t>
      </w:r>
    </w:p>
    <w:p w14:paraId="18679E6A" w14:textId="77777777" w:rsidR="006249B2" w:rsidRPr="009F092C" w:rsidRDefault="006249B2" w:rsidP="00747568">
      <w:pPr>
        <w:spacing w:after="240" w:line="276" w:lineRule="auto"/>
        <w:jc w:val="both"/>
        <w:rPr>
          <w:rFonts w:ascii="Times New Roman" w:hAnsi="Times New Roman"/>
          <w:bCs/>
        </w:rPr>
      </w:pPr>
      <w:r w:rsidRPr="00874820">
        <w:rPr>
          <w:rFonts w:ascii="Times New Roman" w:hAnsi="Times New Roman"/>
          <w:b/>
          <w:bCs/>
        </w:rPr>
        <w:t>Crowdfunding</w:t>
      </w:r>
      <w:r>
        <w:rPr>
          <w:rFonts w:ascii="Times New Roman" w:hAnsi="Times New Roman"/>
          <w:b/>
          <w:bCs/>
        </w:rPr>
        <w:t xml:space="preserve">: </w:t>
      </w:r>
      <w:r>
        <w:rPr>
          <w:rFonts w:ascii="Times New Roman" w:hAnsi="Times New Roman"/>
          <w:bCs/>
        </w:rPr>
        <w:t>Mecanismo</w:t>
      </w:r>
      <w:r w:rsidRPr="009F092C">
        <w:rPr>
          <w:rFonts w:ascii="Times New Roman" w:hAnsi="Times New Roman"/>
          <w:bCs/>
        </w:rPr>
        <w:t xml:space="preserve"> de financiación que consiste en utilizar el capital de numerosos individuos a través de pequeñas aportaciones.</w:t>
      </w:r>
      <w:r>
        <w:rPr>
          <w:rFonts w:ascii="Times New Roman" w:hAnsi="Times New Roman"/>
          <w:bCs/>
        </w:rPr>
        <w:t xml:space="preserve"> Herramienta de financiación </w:t>
      </w:r>
      <w:r w:rsidRPr="009F092C">
        <w:rPr>
          <w:rFonts w:ascii="Times New Roman" w:hAnsi="Times New Roman"/>
          <w:bCs/>
        </w:rPr>
        <w:t>que prescinde de los intermediarios financieros como bancos para obtener el impulso económico a través de donaciones de usuarios cuya motivación puede ser altruista y/o a cambio de algún tipo de recompensa relacionada con el proyecto.</w:t>
      </w:r>
    </w:p>
    <w:p w14:paraId="5A34FCE2" w14:textId="77777777" w:rsidR="006249B2" w:rsidRDefault="006249B2" w:rsidP="00747568">
      <w:pPr>
        <w:spacing w:after="240" w:line="276" w:lineRule="auto"/>
        <w:jc w:val="both"/>
        <w:rPr>
          <w:rFonts w:ascii="Times New Roman" w:hAnsi="Times New Roman"/>
          <w:b/>
          <w:bCs/>
        </w:rPr>
      </w:pPr>
      <w:r>
        <w:rPr>
          <w:rFonts w:ascii="Times New Roman" w:hAnsi="Times New Roman"/>
          <w:b/>
          <w:bCs/>
        </w:rPr>
        <w:t xml:space="preserve">Factoring: </w:t>
      </w:r>
      <w:r w:rsidRPr="009F092C">
        <w:rPr>
          <w:rFonts w:ascii="Times New Roman" w:hAnsi="Times New Roman"/>
          <w:bCs/>
        </w:rPr>
        <w:t xml:space="preserve">Herramienta financiera que permite a las empresas vender sus facturas pendientes de cobro a una entidad </w:t>
      </w:r>
      <w:r>
        <w:rPr>
          <w:rFonts w:ascii="Times New Roman" w:hAnsi="Times New Roman"/>
          <w:bCs/>
        </w:rPr>
        <w:t xml:space="preserve">(factor) </w:t>
      </w:r>
      <w:r w:rsidRPr="009F092C">
        <w:rPr>
          <w:rFonts w:ascii="Times New Roman" w:hAnsi="Times New Roman"/>
          <w:bCs/>
        </w:rPr>
        <w:t>a cambio de un pago inmediato.</w:t>
      </w:r>
      <w:r>
        <w:rPr>
          <w:rFonts w:ascii="Times New Roman" w:hAnsi="Times New Roman"/>
          <w:bCs/>
        </w:rPr>
        <w:t xml:space="preserve"> Herramienta financiera para </w:t>
      </w:r>
      <w:r w:rsidRPr="009F092C">
        <w:rPr>
          <w:rFonts w:ascii="Times New Roman" w:hAnsi="Times New Roman"/>
          <w:bCs/>
        </w:rPr>
        <w:t>proporciona</w:t>
      </w:r>
      <w:r>
        <w:rPr>
          <w:rFonts w:ascii="Times New Roman" w:hAnsi="Times New Roman"/>
          <w:bCs/>
        </w:rPr>
        <w:t>r</w:t>
      </w:r>
      <w:r w:rsidRPr="009F092C">
        <w:rPr>
          <w:rFonts w:ascii="Times New Roman" w:hAnsi="Times New Roman"/>
          <w:bCs/>
        </w:rPr>
        <w:t xml:space="preserve"> a las empresas una forma rápida y eficiente de obtener liquidez</w:t>
      </w:r>
      <w:r>
        <w:rPr>
          <w:rFonts w:ascii="Times New Roman" w:hAnsi="Times New Roman"/>
          <w:bCs/>
        </w:rPr>
        <w:t xml:space="preserve"> a través de la venta de sus facturas pendientes de cobro</w:t>
      </w:r>
      <w:r w:rsidRPr="009F092C">
        <w:rPr>
          <w:rFonts w:ascii="Times New Roman" w:hAnsi="Times New Roman"/>
          <w:bCs/>
        </w:rPr>
        <w:t>.</w:t>
      </w:r>
    </w:p>
    <w:p w14:paraId="3DD642AB" w14:textId="77777777" w:rsidR="006249B2" w:rsidRDefault="006249B2" w:rsidP="00747568">
      <w:pPr>
        <w:spacing w:after="240" w:line="276" w:lineRule="auto"/>
        <w:jc w:val="both"/>
        <w:rPr>
          <w:rFonts w:ascii="Times New Roman" w:hAnsi="Times New Roman"/>
          <w:b/>
          <w:bCs/>
        </w:rPr>
      </w:pPr>
      <w:r>
        <w:rPr>
          <w:rFonts w:ascii="Times New Roman" w:hAnsi="Times New Roman"/>
          <w:b/>
          <w:bCs/>
        </w:rPr>
        <w:t>Pitch F</w:t>
      </w:r>
      <w:r w:rsidRPr="00E00269">
        <w:rPr>
          <w:rFonts w:ascii="Times New Roman" w:hAnsi="Times New Roman"/>
          <w:b/>
          <w:bCs/>
        </w:rPr>
        <w:t>inanciero</w:t>
      </w:r>
      <w:r>
        <w:rPr>
          <w:rFonts w:ascii="Times New Roman" w:hAnsi="Times New Roman"/>
          <w:b/>
          <w:bCs/>
        </w:rPr>
        <w:t xml:space="preserve">: </w:t>
      </w:r>
      <w:r w:rsidRPr="00E00269">
        <w:rPr>
          <w:rFonts w:ascii="Times New Roman" w:hAnsi="Times New Roman"/>
          <w:bCs/>
        </w:rPr>
        <w:t>Modalidad de presentación enfocada en exponer los aspectos económicos y estratégicos de un negocio.</w:t>
      </w:r>
      <w:r>
        <w:rPr>
          <w:rFonts w:ascii="Times New Roman" w:hAnsi="Times New Roman"/>
          <w:bCs/>
        </w:rPr>
        <w:t xml:space="preserve"> P</w:t>
      </w:r>
      <w:r w:rsidRPr="009F092C">
        <w:rPr>
          <w:rFonts w:ascii="Times New Roman" w:hAnsi="Times New Roman"/>
          <w:bCs/>
        </w:rPr>
        <w:t>resentación breve y concisa diseñada para comunicar una idea, proyecto o producto con el objetivo de captar la atención de una audiencia específica, generalmente inversores, socios potenciales o clientes.</w:t>
      </w:r>
    </w:p>
    <w:p w14:paraId="5FC8686B" w14:textId="77777777" w:rsidR="006249B2" w:rsidRDefault="006249B2" w:rsidP="00747568">
      <w:pPr>
        <w:spacing w:after="240" w:line="276" w:lineRule="auto"/>
        <w:jc w:val="both"/>
        <w:rPr>
          <w:rFonts w:ascii="Times New Roman" w:hAnsi="Times New Roman"/>
          <w:b/>
          <w:bCs/>
        </w:rPr>
      </w:pPr>
      <w:r>
        <w:rPr>
          <w:rFonts w:ascii="Times New Roman" w:hAnsi="Times New Roman"/>
          <w:b/>
          <w:bCs/>
        </w:rPr>
        <w:t>Hoja de T</w:t>
      </w:r>
      <w:r w:rsidRPr="00E00269">
        <w:rPr>
          <w:rFonts w:ascii="Times New Roman" w:hAnsi="Times New Roman"/>
          <w:b/>
          <w:bCs/>
        </w:rPr>
        <w:t>érminos (</w:t>
      </w:r>
      <w:r w:rsidRPr="00E00269">
        <w:rPr>
          <w:rFonts w:ascii="Times New Roman" w:hAnsi="Times New Roman"/>
          <w:b/>
          <w:bCs/>
          <w:i/>
        </w:rPr>
        <w:t>Tern Sheet</w:t>
      </w:r>
      <w:r w:rsidRPr="00E00269">
        <w:rPr>
          <w:rFonts w:ascii="Times New Roman" w:hAnsi="Times New Roman"/>
          <w:b/>
          <w:bCs/>
        </w:rPr>
        <w:t>):</w:t>
      </w:r>
      <w:r>
        <w:rPr>
          <w:rFonts w:ascii="Times New Roman" w:hAnsi="Times New Roman"/>
          <w:b/>
          <w:bCs/>
        </w:rPr>
        <w:t xml:space="preserve"> </w:t>
      </w:r>
      <w:r w:rsidRPr="00E00269">
        <w:rPr>
          <w:rFonts w:ascii="Times New Roman" w:hAnsi="Times New Roman"/>
          <w:bCs/>
        </w:rPr>
        <w:t>Documento no vinculante que detalla los términos y condiciones bajo los cuales un inversor está dispuesto a realizar una inversión en una empresa.</w:t>
      </w:r>
      <w:r>
        <w:rPr>
          <w:rFonts w:ascii="Times New Roman" w:hAnsi="Times New Roman"/>
          <w:bCs/>
        </w:rPr>
        <w:t xml:space="preserve"> P</w:t>
      </w:r>
      <w:r w:rsidRPr="00E00269">
        <w:rPr>
          <w:rFonts w:ascii="Times New Roman" w:hAnsi="Times New Roman"/>
          <w:bCs/>
        </w:rPr>
        <w:t xml:space="preserve">lantilla para </w:t>
      </w:r>
      <w:r>
        <w:rPr>
          <w:rFonts w:ascii="Times New Roman" w:hAnsi="Times New Roman"/>
          <w:bCs/>
        </w:rPr>
        <w:t xml:space="preserve">futuros </w:t>
      </w:r>
      <w:r w:rsidRPr="00E00269">
        <w:rPr>
          <w:rFonts w:ascii="Times New Roman" w:hAnsi="Times New Roman"/>
          <w:bCs/>
        </w:rPr>
        <w:t>documentos más detallados y legalmente vinculantes</w:t>
      </w:r>
      <w:r>
        <w:rPr>
          <w:rFonts w:ascii="Times New Roman" w:hAnsi="Times New Roman"/>
          <w:bCs/>
        </w:rPr>
        <w:t>.</w:t>
      </w:r>
    </w:p>
    <w:p w14:paraId="265AC9F5" w14:textId="77777777" w:rsidR="006249B2" w:rsidRPr="00E00269" w:rsidRDefault="006249B2" w:rsidP="00747568">
      <w:pPr>
        <w:spacing w:after="240" w:line="276" w:lineRule="auto"/>
        <w:jc w:val="both"/>
        <w:rPr>
          <w:rFonts w:ascii="Times New Roman" w:hAnsi="Times New Roman"/>
          <w:bCs/>
        </w:rPr>
      </w:pPr>
      <w:r>
        <w:rPr>
          <w:rFonts w:ascii="Times New Roman" w:hAnsi="Times New Roman"/>
          <w:b/>
          <w:bCs/>
        </w:rPr>
        <w:t>Data R</w:t>
      </w:r>
      <w:r w:rsidRPr="00E00269">
        <w:rPr>
          <w:rFonts w:ascii="Times New Roman" w:hAnsi="Times New Roman"/>
          <w:b/>
          <w:bCs/>
        </w:rPr>
        <w:t>ooms</w:t>
      </w:r>
      <w:r>
        <w:rPr>
          <w:rFonts w:ascii="Times New Roman" w:hAnsi="Times New Roman"/>
          <w:b/>
          <w:bCs/>
        </w:rPr>
        <w:t xml:space="preserve">: </w:t>
      </w:r>
      <w:r>
        <w:rPr>
          <w:rFonts w:ascii="Times New Roman" w:hAnsi="Times New Roman"/>
          <w:bCs/>
        </w:rPr>
        <w:t>E</w:t>
      </w:r>
      <w:r w:rsidRPr="00E00269">
        <w:rPr>
          <w:rFonts w:ascii="Times New Roman" w:hAnsi="Times New Roman"/>
          <w:bCs/>
        </w:rPr>
        <w:t>spacio</w:t>
      </w:r>
      <w:r>
        <w:rPr>
          <w:rFonts w:ascii="Times New Roman" w:hAnsi="Times New Roman"/>
          <w:bCs/>
        </w:rPr>
        <w:t>s</w:t>
      </w:r>
      <w:r w:rsidRPr="00E00269">
        <w:rPr>
          <w:rFonts w:ascii="Times New Roman" w:hAnsi="Times New Roman"/>
          <w:bCs/>
        </w:rPr>
        <w:t xml:space="preserve"> digital</w:t>
      </w:r>
      <w:r>
        <w:rPr>
          <w:rFonts w:ascii="Times New Roman" w:hAnsi="Times New Roman"/>
          <w:bCs/>
        </w:rPr>
        <w:t>es</w:t>
      </w:r>
      <w:r w:rsidRPr="00E00269">
        <w:rPr>
          <w:rFonts w:ascii="Times New Roman" w:hAnsi="Times New Roman"/>
          <w:bCs/>
        </w:rPr>
        <w:t xml:space="preserve"> que permite</w:t>
      </w:r>
      <w:r>
        <w:rPr>
          <w:rFonts w:ascii="Times New Roman" w:hAnsi="Times New Roman"/>
          <w:bCs/>
        </w:rPr>
        <w:t>n</w:t>
      </w:r>
      <w:r w:rsidRPr="00E00269">
        <w:rPr>
          <w:rFonts w:ascii="Times New Roman" w:hAnsi="Times New Roman"/>
          <w:bCs/>
        </w:rPr>
        <w:t xml:space="preserve"> guardar y compartir información sensible de</w:t>
      </w:r>
      <w:r>
        <w:rPr>
          <w:rFonts w:ascii="Times New Roman" w:hAnsi="Times New Roman"/>
          <w:bCs/>
        </w:rPr>
        <w:t xml:space="preserve"> las compañías de</w:t>
      </w:r>
      <w:r w:rsidRPr="00E00269">
        <w:rPr>
          <w:rFonts w:ascii="Times New Roman" w:hAnsi="Times New Roman"/>
          <w:bCs/>
        </w:rPr>
        <w:t xml:space="preserve"> forma segura</w:t>
      </w:r>
      <w:r>
        <w:rPr>
          <w:rFonts w:ascii="Times New Roman" w:hAnsi="Times New Roman"/>
          <w:bCs/>
        </w:rPr>
        <w:t>. E</w:t>
      </w:r>
      <w:r w:rsidRPr="00E00269">
        <w:rPr>
          <w:rFonts w:ascii="Times New Roman" w:hAnsi="Times New Roman"/>
          <w:bCs/>
        </w:rPr>
        <w:t>spacio</w:t>
      </w:r>
      <w:r>
        <w:rPr>
          <w:rFonts w:ascii="Times New Roman" w:hAnsi="Times New Roman"/>
          <w:bCs/>
        </w:rPr>
        <w:t>s</w:t>
      </w:r>
      <w:r w:rsidRPr="00E00269">
        <w:rPr>
          <w:rFonts w:ascii="Times New Roman" w:hAnsi="Times New Roman"/>
          <w:bCs/>
        </w:rPr>
        <w:t xml:space="preserve"> </w:t>
      </w:r>
      <w:r>
        <w:rPr>
          <w:rFonts w:ascii="Times New Roman" w:hAnsi="Times New Roman"/>
          <w:bCs/>
        </w:rPr>
        <w:t xml:space="preserve">virtuales </w:t>
      </w:r>
      <w:r w:rsidRPr="00E00269">
        <w:rPr>
          <w:rFonts w:ascii="Times New Roman" w:hAnsi="Times New Roman"/>
          <w:bCs/>
        </w:rPr>
        <w:t>de trabajo en línea seguro que permite</w:t>
      </w:r>
      <w:r>
        <w:rPr>
          <w:rFonts w:ascii="Times New Roman" w:hAnsi="Times New Roman"/>
          <w:bCs/>
        </w:rPr>
        <w:t>n</w:t>
      </w:r>
      <w:r w:rsidRPr="00E00269">
        <w:rPr>
          <w:rFonts w:ascii="Times New Roman" w:hAnsi="Times New Roman"/>
          <w:bCs/>
        </w:rPr>
        <w:t xml:space="preserve"> a las partes autorizadas almacenar, compartir y colaborar en documentos confidenciales.</w:t>
      </w:r>
    </w:p>
    <w:p w14:paraId="040283DD" w14:textId="5ACCF175" w:rsidR="006249B2" w:rsidRDefault="006249B2" w:rsidP="00747568">
      <w:pPr>
        <w:spacing w:after="240" w:line="276" w:lineRule="auto"/>
        <w:jc w:val="both"/>
        <w:rPr>
          <w:rFonts w:ascii="Times New Roman" w:hAnsi="Times New Roman"/>
          <w:bCs/>
        </w:rPr>
      </w:pPr>
      <w:r w:rsidRPr="005C6F2B">
        <w:rPr>
          <w:rFonts w:ascii="Times New Roman" w:hAnsi="Times New Roman"/>
          <w:b/>
          <w:bCs/>
        </w:rPr>
        <w:t>Artículo</w:t>
      </w:r>
      <w:r>
        <w:rPr>
          <w:rFonts w:ascii="Times New Roman" w:hAnsi="Times New Roman"/>
          <w:b/>
          <w:bCs/>
        </w:rPr>
        <w:t xml:space="preserve"> 3</w:t>
      </w:r>
      <w:r w:rsidRPr="005C6F2B">
        <w:rPr>
          <w:rFonts w:ascii="Times New Roman" w:hAnsi="Times New Roman"/>
          <w:b/>
          <w:bCs/>
        </w:rPr>
        <w:t>. Lineamiento</w:t>
      </w:r>
      <w:r>
        <w:rPr>
          <w:rFonts w:ascii="Times New Roman" w:hAnsi="Times New Roman"/>
          <w:b/>
          <w:bCs/>
        </w:rPr>
        <w:t>s.</w:t>
      </w:r>
      <w:r w:rsidRPr="00CB32F0">
        <w:rPr>
          <w:rFonts w:ascii="Times New Roman" w:hAnsi="Times New Roman"/>
          <w:bCs/>
        </w:rPr>
        <w:t xml:space="preserve"> La Administración Distrital, a </w:t>
      </w:r>
      <w:r w:rsidRPr="00AE5815">
        <w:rPr>
          <w:rFonts w:ascii="Times New Roman" w:hAnsi="Times New Roman"/>
          <w:bCs/>
        </w:rPr>
        <w:t xml:space="preserve">través de </w:t>
      </w:r>
      <w:r w:rsidR="00AE5815">
        <w:rPr>
          <w:rFonts w:ascii="Times New Roman" w:hAnsi="Times New Roman"/>
          <w:bCs/>
        </w:rPr>
        <w:t>la Secretaría Distrital de Hacienda y la Secretaría Distrital de Desarrollo Económico</w:t>
      </w:r>
      <w:r w:rsidRPr="00AE5815">
        <w:rPr>
          <w:rFonts w:ascii="Times New Roman" w:hAnsi="Times New Roman"/>
          <w:bCs/>
        </w:rPr>
        <w:t>,</w:t>
      </w:r>
      <w:r w:rsidRPr="00CB32F0">
        <w:rPr>
          <w:rFonts w:ascii="Times New Roman" w:hAnsi="Times New Roman"/>
          <w:bCs/>
        </w:rPr>
        <w:t xml:space="preserve"> propenderá por implementar el presente Acuerdo bajo los siguientes lineamientos:</w:t>
      </w:r>
    </w:p>
    <w:p w14:paraId="6F89702D" w14:textId="77777777" w:rsidR="006249B2"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Consolidar a las empresas privadas del Distrito Capital como agentes impulsores del crecimiento económico, la innovación y el desarrollo sostenible de Bogotá D.C. y su zona metropolitana.</w:t>
      </w:r>
    </w:p>
    <w:p w14:paraId="06A165B6" w14:textId="77777777" w:rsidR="006249B2"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Desarrollar un ecosistema financiero robusto y diversificado que impulse el crecimiento de las MiPymes y emprendimientos del Distrito, con especial énfasis en fuentes de financiación no tradicionales.</w:t>
      </w:r>
    </w:p>
    <w:p w14:paraId="78C7B83A" w14:textId="77777777" w:rsidR="006249B2"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 xml:space="preserve">Ampliar la inclusión financiera mediante el fortalecimiento y promoción de instrumentos como capital semilla, redes de ángeles inversionistas, aceleradoras, capital de riesgo, capital privado y </w:t>
      </w:r>
      <w:r>
        <w:rPr>
          <w:rFonts w:ascii="Times New Roman" w:hAnsi="Times New Roman"/>
          <w:bCs/>
        </w:rPr>
        <w:t xml:space="preserve">otros </w:t>
      </w:r>
      <w:r w:rsidRPr="00BD305B">
        <w:rPr>
          <w:rFonts w:ascii="Times New Roman" w:hAnsi="Times New Roman"/>
          <w:bCs/>
        </w:rPr>
        <w:t>Fondos de Inversión Colectiva, para apoyar la consolidación y escalamiento de empresas y proyectos productivos.</w:t>
      </w:r>
    </w:p>
    <w:p w14:paraId="20F3835B" w14:textId="77777777" w:rsidR="006249B2"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Fomentar competencias y conocimientos económicos y financieros, con contenidos pertinentes, de calidad y diferenciados según el perfil del emprendedor o empresario, así como la etapa de desarrollo de su proyecto o empresa.</w:t>
      </w:r>
    </w:p>
    <w:p w14:paraId="3902FE52" w14:textId="77777777" w:rsidR="006249B2"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Promover alianzas estratégicas interinstitucionales y con el sector privado para el diseño e implementación de instrumentos de financiación innovadores y sostenibles, alineados con las necesidades de los diferentes sectores productivos de la ciudad.</w:t>
      </w:r>
    </w:p>
    <w:p w14:paraId="42E35579" w14:textId="77777777" w:rsidR="006249B2"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Crear y fortalecer espacios de articulación y conexión entre emprendedores, empresarios, inversionistas y autoridades distritales, que faciliten la identificación de oportunidades y la concreción de acuerdos de inversión.</w:t>
      </w:r>
    </w:p>
    <w:p w14:paraId="2652D9F3" w14:textId="77777777" w:rsidR="006249B2"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Establecer mecanismos de seguimiento, evaluación y articulación de los programas de educación financiera en métodos alternativos de financiación, garantizando la pertinencia de los contenidos y la adecuada selección de la población beneficiaria.</w:t>
      </w:r>
    </w:p>
    <w:p w14:paraId="538014B2" w14:textId="77777777" w:rsidR="006249B2"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 xml:space="preserve">Impulsar la cultura ciudadana de inversión en el mercado de valores colombiano, promoviendo la confianza y el conocimiento de la ciudadanía sobre el funcionamiento y beneficios de los mecanismos bursátiles, el capital privado y </w:t>
      </w:r>
      <w:r>
        <w:rPr>
          <w:rFonts w:ascii="Times New Roman" w:hAnsi="Times New Roman"/>
          <w:bCs/>
        </w:rPr>
        <w:t>otros</w:t>
      </w:r>
      <w:r w:rsidRPr="00BD305B">
        <w:rPr>
          <w:rFonts w:ascii="Times New Roman" w:hAnsi="Times New Roman"/>
          <w:bCs/>
        </w:rPr>
        <w:t xml:space="preserve"> Fondos de Inversión Colectiva.</w:t>
      </w:r>
    </w:p>
    <w:p w14:paraId="73A6CD33" w14:textId="77777777" w:rsidR="006249B2"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 xml:space="preserve">Implementar </w:t>
      </w:r>
      <w:r>
        <w:rPr>
          <w:rFonts w:ascii="Times New Roman" w:hAnsi="Times New Roman"/>
          <w:bCs/>
        </w:rPr>
        <w:t>mecanismos para la recopilación, el análisis y la publicación de</w:t>
      </w:r>
      <w:r w:rsidRPr="00BD305B">
        <w:rPr>
          <w:rFonts w:ascii="Times New Roman" w:hAnsi="Times New Roman"/>
          <w:bCs/>
        </w:rPr>
        <w:t xml:space="preserve"> información periódica sobre el acceso a capital, desempeño de los instrumentos financieros y su impacto en el tejido empresarial</w:t>
      </w:r>
      <w:r>
        <w:rPr>
          <w:rFonts w:ascii="Times New Roman" w:hAnsi="Times New Roman"/>
          <w:bCs/>
        </w:rPr>
        <w:t xml:space="preserve"> distrital</w:t>
      </w:r>
      <w:r w:rsidRPr="00BD305B">
        <w:rPr>
          <w:rFonts w:ascii="Times New Roman" w:hAnsi="Times New Roman"/>
          <w:bCs/>
        </w:rPr>
        <w:t>.</w:t>
      </w:r>
    </w:p>
    <w:p w14:paraId="611B03E1" w14:textId="77777777" w:rsidR="006249B2" w:rsidRPr="00BD305B"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 xml:space="preserve">Fortalecer la articulación con programas nacionales e internacionales de </w:t>
      </w:r>
      <w:r>
        <w:rPr>
          <w:rFonts w:ascii="Times New Roman" w:hAnsi="Times New Roman"/>
          <w:bCs/>
        </w:rPr>
        <w:t>inversión colectiva</w:t>
      </w:r>
      <w:r w:rsidRPr="00BD305B">
        <w:rPr>
          <w:rFonts w:ascii="Times New Roman" w:hAnsi="Times New Roman"/>
          <w:bCs/>
        </w:rPr>
        <w:t xml:space="preserve"> y capital emprendedor, aprovechando recursos y experiencias que potencien la competitividad empresarial del Distrito.</w:t>
      </w:r>
    </w:p>
    <w:p w14:paraId="6470AD5F" w14:textId="77777777" w:rsidR="006249B2" w:rsidRDefault="006249B2" w:rsidP="00747568">
      <w:pPr>
        <w:spacing w:line="276" w:lineRule="auto"/>
        <w:jc w:val="both"/>
        <w:rPr>
          <w:rFonts w:ascii="Times New Roman" w:hAnsi="Times New Roman"/>
          <w:bCs/>
        </w:rPr>
      </w:pPr>
    </w:p>
    <w:p w14:paraId="51B7FF29" w14:textId="6F829C54" w:rsidR="006249B2" w:rsidRDefault="006249B2" w:rsidP="00747568">
      <w:pPr>
        <w:spacing w:line="276" w:lineRule="auto"/>
        <w:jc w:val="both"/>
        <w:rPr>
          <w:rFonts w:ascii="Times New Roman" w:hAnsi="Times New Roman"/>
          <w:bCs/>
        </w:rPr>
      </w:pPr>
      <w:r w:rsidRPr="005C6F2B">
        <w:rPr>
          <w:rFonts w:ascii="Times New Roman" w:hAnsi="Times New Roman"/>
          <w:b/>
          <w:bCs/>
        </w:rPr>
        <w:t>Artículo</w:t>
      </w:r>
      <w:r>
        <w:rPr>
          <w:rFonts w:ascii="Times New Roman" w:hAnsi="Times New Roman"/>
          <w:b/>
          <w:bCs/>
        </w:rPr>
        <w:t xml:space="preserve"> 4</w:t>
      </w:r>
      <w:r w:rsidRPr="005C6F2B">
        <w:rPr>
          <w:rFonts w:ascii="Times New Roman" w:hAnsi="Times New Roman"/>
          <w:b/>
          <w:bCs/>
        </w:rPr>
        <w:t>.</w:t>
      </w:r>
      <w:r>
        <w:rPr>
          <w:rFonts w:ascii="Times New Roman" w:hAnsi="Times New Roman"/>
          <w:b/>
          <w:bCs/>
        </w:rPr>
        <w:t xml:space="preserve"> </w:t>
      </w:r>
      <w:r>
        <w:rPr>
          <w:rFonts w:ascii="Times New Roman" w:hAnsi="Times New Roman"/>
          <w:bCs/>
        </w:rPr>
        <w:t>La</w:t>
      </w:r>
      <w:r w:rsidRPr="00881B64">
        <w:rPr>
          <w:rFonts w:ascii="Times New Roman" w:hAnsi="Times New Roman"/>
          <w:bCs/>
        </w:rPr>
        <w:t xml:space="preserve"> </w:t>
      </w:r>
      <w:r w:rsidRPr="008A760A">
        <w:rPr>
          <w:rFonts w:ascii="Times New Roman" w:hAnsi="Times New Roman"/>
          <w:bCs/>
        </w:rPr>
        <w:t xml:space="preserve">Administración Distrital, </w:t>
      </w:r>
      <w:r w:rsidR="00AE5815">
        <w:rPr>
          <w:rFonts w:ascii="Times New Roman" w:hAnsi="Times New Roman"/>
          <w:bCs/>
        </w:rPr>
        <w:t>a través de la Secretaría Distrital</w:t>
      </w:r>
      <w:r w:rsidR="009A48D7">
        <w:rPr>
          <w:rFonts w:ascii="Times New Roman" w:hAnsi="Times New Roman"/>
          <w:bCs/>
        </w:rPr>
        <w:t xml:space="preserve"> de Desarrollo Económico</w:t>
      </w:r>
      <w:r w:rsidRPr="008A760A">
        <w:rPr>
          <w:rFonts w:ascii="Times New Roman" w:hAnsi="Times New Roman"/>
          <w:bCs/>
        </w:rPr>
        <w:t>,</w:t>
      </w:r>
      <w:r>
        <w:rPr>
          <w:rFonts w:ascii="Times New Roman" w:hAnsi="Times New Roman"/>
          <w:bCs/>
        </w:rPr>
        <w:t xml:space="preserve"> </w:t>
      </w:r>
      <w:r w:rsidR="009A48D7">
        <w:rPr>
          <w:rFonts w:ascii="Times New Roman" w:hAnsi="Times New Roman"/>
          <w:bCs/>
        </w:rPr>
        <w:t xml:space="preserve">a través de las plataformas de los programas “Hecho en Bogotá” y “Academia Bogotá Productiva”, </w:t>
      </w:r>
      <w:r w:rsidR="007A3B80">
        <w:rPr>
          <w:rFonts w:ascii="Times New Roman" w:hAnsi="Times New Roman"/>
          <w:bCs/>
        </w:rPr>
        <w:t>promoverá el uso de</w:t>
      </w:r>
      <w:r>
        <w:rPr>
          <w:rFonts w:ascii="Times New Roman" w:hAnsi="Times New Roman"/>
          <w:bCs/>
        </w:rPr>
        <w:t xml:space="preserve"> los instrumentos de financiación </w:t>
      </w:r>
      <w:r w:rsidR="009A48D7">
        <w:rPr>
          <w:rFonts w:ascii="Times New Roman" w:hAnsi="Times New Roman"/>
          <w:bCs/>
        </w:rPr>
        <w:t>de capital y deuda</w:t>
      </w:r>
      <w:r w:rsidR="007A3B80">
        <w:rPr>
          <w:rFonts w:ascii="Times New Roman" w:hAnsi="Times New Roman"/>
          <w:bCs/>
        </w:rPr>
        <w:t>, promocionando los</w:t>
      </w:r>
      <w:r>
        <w:rPr>
          <w:rFonts w:ascii="Times New Roman" w:hAnsi="Times New Roman"/>
          <w:bCs/>
        </w:rPr>
        <w:t xml:space="preserve"> beneficios</w:t>
      </w:r>
      <w:r w:rsidR="007A3B80">
        <w:rPr>
          <w:rFonts w:ascii="Times New Roman" w:hAnsi="Times New Roman"/>
          <w:bCs/>
        </w:rPr>
        <w:t xml:space="preserve"> de cada uno de estos,</w:t>
      </w:r>
      <w:r>
        <w:rPr>
          <w:rFonts w:ascii="Times New Roman" w:hAnsi="Times New Roman"/>
          <w:bCs/>
        </w:rPr>
        <w:t xml:space="preserve"> según las etapas de desarrollo empresarial así:</w:t>
      </w:r>
    </w:p>
    <w:p w14:paraId="1AC4A615" w14:textId="77777777" w:rsidR="006249B2" w:rsidRDefault="006249B2" w:rsidP="00747568">
      <w:pPr>
        <w:spacing w:line="276" w:lineRule="auto"/>
        <w:jc w:val="both"/>
        <w:rPr>
          <w:rFonts w:ascii="Times New Roman" w:hAnsi="Times New Roman"/>
          <w:bCs/>
        </w:rPr>
      </w:pPr>
    </w:p>
    <w:p w14:paraId="05243379" w14:textId="77777777" w:rsidR="006249B2" w:rsidRPr="00881B64" w:rsidRDefault="006249B2" w:rsidP="00747568">
      <w:pPr>
        <w:pStyle w:val="Prrafodelista"/>
        <w:numPr>
          <w:ilvl w:val="0"/>
          <w:numId w:val="18"/>
        </w:numPr>
        <w:spacing w:line="276" w:lineRule="auto"/>
        <w:jc w:val="both"/>
        <w:rPr>
          <w:rFonts w:ascii="Times New Roman" w:hAnsi="Times New Roman"/>
          <w:bCs/>
        </w:rPr>
      </w:pPr>
      <w:r>
        <w:rPr>
          <w:rFonts w:ascii="Times New Roman" w:hAnsi="Times New Roman"/>
          <w:bCs/>
        </w:rPr>
        <w:t xml:space="preserve">Emprendimientos, Micro y Pequeñas Empresas: </w:t>
      </w:r>
    </w:p>
    <w:p w14:paraId="58D75324" w14:textId="77777777" w:rsidR="006249B2" w:rsidRDefault="006249B2" w:rsidP="00747568">
      <w:pPr>
        <w:pStyle w:val="Prrafodelista"/>
        <w:numPr>
          <w:ilvl w:val="1"/>
          <w:numId w:val="18"/>
        </w:numPr>
        <w:spacing w:line="276" w:lineRule="auto"/>
        <w:jc w:val="both"/>
        <w:rPr>
          <w:rFonts w:ascii="Times New Roman" w:hAnsi="Times New Roman"/>
          <w:bCs/>
        </w:rPr>
      </w:pPr>
      <w:r>
        <w:rPr>
          <w:rFonts w:ascii="Times New Roman" w:hAnsi="Times New Roman"/>
          <w:bCs/>
        </w:rPr>
        <w:t>Ángeles inversionistas</w:t>
      </w:r>
    </w:p>
    <w:p w14:paraId="579D7008" w14:textId="77777777" w:rsidR="006249B2" w:rsidRDefault="006249B2" w:rsidP="00747568">
      <w:pPr>
        <w:pStyle w:val="Prrafodelista"/>
        <w:numPr>
          <w:ilvl w:val="1"/>
          <w:numId w:val="18"/>
        </w:numPr>
        <w:spacing w:line="276" w:lineRule="auto"/>
        <w:jc w:val="both"/>
        <w:rPr>
          <w:rFonts w:ascii="Times New Roman" w:hAnsi="Times New Roman"/>
          <w:bCs/>
        </w:rPr>
      </w:pPr>
      <w:r>
        <w:rPr>
          <w:rFonts w:ascii="Times New Roman" w:hAnsi="Times New Roman"/>
          <w:bCs/>
        </w:rPr>
        <w:t>Aceleradoras</w:t>
      </w:r>
    </w:p>
    <w:p w14:paraId="4DDFC895" w14:textId="77777777" w:rsidR="006249B2" w:rsidRDefault="006249B2" w:rsidP="00747568">
      <w:pPr>
        <w:pStyle w:val="Prrafodelista"/>
        <w:numPr>
          <w:ilvl w:val="1"/>
          <w:numId w:val="18"/>
        </w:numPr>
        <w:spacing w:line="276" w:lineRule="auto"/>
        <w:jc w:val="both"/>
        <w:rPr>
          <w:rFonts w:ascii="Times New Roman" w:hAnsi="Times New Roman"/>
          <w:bCs/>
        </w:rPr>
      </w:pPr>
      <w:r>
        <w:rPr>
          <w:rFonts w:ascii="Times New Roman" w:hAnsi="Times New Roman"/>
          <w:bCs/>
        </w:rPr>
        <w:t>Capital semilla</w:t>
      </w:r>
    </w:p>
    <w:p w14:paraId="1D1EE8A1" w14:textId="77777777" w:rsidR="006249B2" w:rsidRPr="00811D71" w:rsidRDefault="006249B2" w:rsidP="00747568">
      <w:pPr>
        <w:pStyle w:val="Prrafodelista"/>
        <w:numPr>
          <w:ilvl w:val="1"/>
          <w:numId w:val="18"/>
        </w:numPr>
        <w:spacing w:line="276" w:lineRule="auto"/>
        <w:jc w:val="both"/>
        <w:rPr>
          <w:rFonts w:ascii="Times New Roman" w:hAnsi="Times New Roman"/>
          <w:bCs/>
        </w:rPr>
      </w:pPr>
      <w:r>
        <w:rPr>
          <w:rFonts w:ascii="Times New Roman" w:hAnsi="Times New Roman"/>
          <w:bCs/>
          <w:i/>
        </w:rPr>
        <w:t>Crowdfunding</w:t>
      </w:r>
    </w:p>
    <w:p w14:paraId="45CF1C90" w14:textId="77777777" w:rsidR="006249B2" w:rsidRPr="00881B64" w:rsidRDefault="006249B2" w:rsidP="00747568">
      <w:pPr>
        <w:pStyle w:val="Prrafodelista"/>
        <w:spacing w:line="276" w:lineRule="auto"/>
        <w:ind w:left="1440"/>
        <w:jc w:val="both"/>
        <w:rPr>
          <w:rFonts w:ascii="Times New Roman" w:hAnsi="Times New Roman"/>
          <w:bCs/>
        </w:rPr>
      </w:pPr>
    </w:p>
    <w:p w14:paraId="3587A35E" w14:textId="77777777" w:rsidR="006249B2" w:rsidRDefault="006249B2" w:rsidP="00747568">
      <w:pPr>
        <w:pStyle w:val="Prrafodelista"/>
        <w:numPr>
          <w:ilvl w:val="0"/>
          <w:numId w:val="18"/>
        </w:numPr>
        <w:spacing w:line="276" w:lineRule="auto"/>
        <w:jc w:val="both"/>
        <w:rPr>
          <w:rFonts w:ascii="Times New Roman" w:hAnsi="Times New Roman"/>
          <w:bCs/>
        </w:rPr>
      </w:pPr>
      <w:r>
        <w:rPr>
          <w:rFonts w:ascii="Times New Roman" w:hAnsi="Times New Roman"/>
          <w:bCs/>
        </w:rPr>
        <w:t>Medianas Empresas:</w:t>
      </w:r>
    </w:p>
    <w:p w14:paraId="2F932BEF" w14:textId="77777777" w:rsidR="006249B2" w:rsidRDefault="006249B2" w:rsidP="00747568">
      <w:pPr>
        <w:pStyle w:val="Prrafodelista"/>
        <w:numPr>
          <w:ilvl w:val="1"/>
          <w:numId w:val="18"/>
        </w:numPr>
        <w:spacing w:line="276" w:lineRule="auto"/>
        <w:jc w:val="both"/>
        <w:rPr>
          <w:rFonts w:ascii="Times New Roman" w:hAnsi="Times New Roman"/>
          <w:bCs/>
        </w:rPr>
      </w:pPr>
      <w:r>
        <w:rPr>
          <w:rFonts w:ascii="Times New Roman" w:hAnsi="Times New Roman"/>
          <w:bCs/>
        </w:rPr>
        <w:t>Fondos de Capital de Riesgo o Capital Emprendedor (</w:t>
      </w:r>
      <w:r>
        <w:rPr>
          <w:rFonts w:ascii="Times New Roman" w:hAnsi="Times New Roman"/>
          <w:bCs/>
          <w:i/>
        </w:rPr>
        <w:t>Venture Capital</w:t>
      </w:r>
      <w:r>
        <w:rPr>
          <w:rFonts w:ascii="Times New Roman" w:hAnsi="Times New Roman"/>
          <w:bCs/>
        </w:rPr>
        <w:t>)</w:t>
      </w:r>
    </w:p>
    <w:p w14:paraId="3C09410C" w14:textId="77777777" w:rsidR="006249B2" w:rsidRDefault="006249B2" w:rsidP="00747568">
      <w:pPr>
        <w:pStyle w:val="Prrafodelista"/>
        <w:numPr>
          <w:ilvl w:val="1"/>
          <w:numId w:val="18"/>
        </w:numPr>
        <w:spacing w:line="276" w:lineRule="auto"/>
        <w:jc w:val="both"/>
        <w:rPr>
          <w:rFonts w:ascii="Times New Roman" w:hAnsi="Times New Roman"/>
          <w:bCs/>
        </w:rPr>
      </w:pPr>
      <w:r>
        <w:rPr>
          <w:rFonts w:ascii="Times New Roman" w:hAnsi="Times New Roman"/>
          <w:bCs/>
        </w:rPr>
        <w:t>Fondos de Capital Privado (</w:t>
      </w:r>
      <w:r>
        <w:rPr>
          <w:rFonts w:ascii="Times New Roman" w:hAnsi="Times New Roman"/>
          <w:bCs/>
          <w:i/>
        </w:rPr>
        <w:t>Private Equity</w:t>
      </w:r>
      <w:r>
        <w:rPr>
          <w:rFonts w:ascii="Times New Roman" w:hAnsi="Times New Roman"/>
          <w:bCs/>
        </w:rPr>
        <w:t>)</w:t>
      </w:r>
    </w:p>
    <w:p w14:paraId="4A113F4D" w14:textId="77777777" w:rsidR="006249B2" w:rsidRDefault="006249B2" w:rsidP="00747568">
      <w:pPr>
        <w:pStyle w:val="Prrafodelista"/>
        <w:spacing w:line="276" w:lineRule="auto"/>
        <w:ind w:left="1440"/>
        <w:jc w:val="both"/>
        <w:rPr>
          <w:rFonts w:ascii="Times New Roman" w:hAnsi="Times New Roman"/>
          <w:bCs/>
        </w:rPr>
      </w:pPr>
    </w:p>
    <w:p w14:paraId="12B653ED" w14:textId="77777777" w:rsidR="006249B2" w:rsidRDefault="006249B2" w:rsidP="00747568">
      <w:pPr>
        <w:pStyle w:val="Prrafodelista"/>
        <w:numPr>
          <w:ilvl w:val="0"/>
          <w:numId w:val="18"/>
        </w:numPr>
        <w:spacing w:line="276" w:lineRule="auto"/>
        <w:jc w:val="both"/>
        <w:rPr>
          <w:rFonts w:ascii="Times New Roman" w:hAnsi="Times New Roman"/>
          <w:bCs/>
        </w:rPr>
      </w:pPr>
      <w:r>
        <w:rPr>
          <w:rFonts w:ascii="Times New Roman" w:hAnsi="Times New Roman"/>
          <w:bCs/>
        </w:rPr>
        <w:t>Grandes Empresas:</w:t>
      </w:r>
    </w:p>
    <w:p w14:paraId="77BE7499" w14:textId="77777777" w:rsidR="006249B2" w:rsidRDefault="006249B2" w:rsidP="00747568">
      <w:pPr>
        <w:pStyle w:val="Prrafodelista"/>
        <w:numPr>
          <w:ilvl w:val="1"/>
          <w:numId w:val="18"/>
        </w:numPr>
        <w:spacing w:line="276" w:lineRule="auto"/>
        <w:jc w:val="both"/>
        <w:rPr>
          <w:rFonts w:ascii="Times New Roman" w:hAnsi="Times New Roman"/>
          <w:bCs/>
        </w:rPr>
      </w:pPr>
      <w:r>
        <w:rPr>
          <w:rFonts w:ascii="Times New Roman" w:hAnsi="Times New Roman"/>
          <w:bCs/>
        </w:rPr>
        <w:t>Emisión</w:t>
      </w:r>
      <w:r w:rsidRPr="00811D71">
        <w:rPr>
          <w:rFonts w:ascii="Times New Roman" w:hAnsi="Times New Roman"/>
          <w:bCs/>
        </w:rPr>
        <w:t xml:space="preserve"> </w:t>
      </w:r>
      <w:r>
        <w:rPr>
          <w:rFonts w:ascii="Times New Roman" w:hAnsi="Times New Roman"/>
          <w:bCs/>
        </w:rPr>
        <w:t xml:space="preserve">por primera vez </w:t>
      </w:r>
      <w:r w:rsidRPr="00811D71">
        <w:rPr>
          <w:rFonts w:ascii="Times New Roman" w:hAnsi="Times New Roman"/>
          <w:bCs/>
        </w:rPr>
        <w:t>de acciones en el mercado bursátil (</w:t>
      </w:r>
      <w:r w:rsidRPr="00811D71">
        <w:rPr>
          <w:rFonts w:ascii="Times New Roman" w:hAnsi="Times New Roman"/>
          <w:bCs/>
          <w:i/>
        </w:rPr>
        <w:t>IPO</w:t>
      </w:r>
      <w:r w:rsidRPr="00811D71">
        <w:rPr>
          <w:rFonts w:ascii="Times New Roman" w:hAnsi="Times New Roman"/>
          <w:bCs/>
        </w:rPr>
        <w:t xml:space="preserve">) </w:t>
      </w:r>
    </w:p>
    <w:p w14:paraId="608C190D" w14:textId="77777777" w:rsidR="006249B2" w:rsidRPr="00811D71" w:rsidRDefault="006249B2" w:rsidP="00747568">
      <w:pPr>
        <w:pStyle w:val="Prrafodelista"/>
        <w:numPr>
          <w:ilvl w:val="1"/>
          <w:numId w:val="18"/>
        </w:numPr>
        <w:spacing w:line="276" w:lineRule="auto"/>
        <w:jc w:val="both"/>
        <w:rPr>
          <w:rFonts w:ascii="Times New Roman" w:hAnsi="Times New Roman"/>
          <w:bCs/>
        </w:rPr>
      </w:pPr>
      <w:r w:rsidRPr="00811D71">
        <w:rPr>
          <w:rFonts w:ascii="Times New Roman" w:hAnsi="Times New Roman"/>
          <w:bCs/>
        </w:rPr>
        <w:t xml:space="preserve">Emisión </w:t>
      </w:r>
      <w:r>
        <w:rPr>
          <w:rFonts w:ascii="Times New Roman" w:hAnsi="Times New Roman"/>
          <w:bCs/>
        </w:rPr>
        <w:t xml:space="preserve">por primera vez </w:t>
      </w:r>
      <w:r w:rsidRPr="00811D71">
        <w:rPr>
          <w:rFonts w:ascii="Times New Roman" w:hAnsi="Times New Roman"/>
          <w:bCs/>
        </w:rPr>
        <w:t>de bonos</w:t>
      </w:r>
    </w:p>
    <w:p w14:paraId="79A9F125" w14:textId="77777777" w:rsidR="006249B2" w:rsidRPr="000B4795" w:rsidRDefault="006249B2" w:rsidP="00747568">
      <w:pPr>
        <w:spacing w:line="276" w:lineRule="auto"/>
        <w:jc w:val="both"/>
        <w:rPr>
          <w:rFonts w:ascii="Times New Roman" w:hAnsi="Times New Roman"/>
          <w:bCs/>
        </w:rPr>
      </w:pPr>
    </w:p>
    <w:p w14:paraId="07950817" w14:textId="430419BF" w:rsidR="006249B2" w:rsidRDefault="006249B2" w:rsidP="00747568">
      <w:pPr>
        <w:spacing w:line="276" w:lineRule="auto"/>
        <w:jc w:val="both"/>
        <w:rPr>
          <w:rFonts w:ascii="Times New Roman" w:hAnsi="Times New Roman"/>
          <w:bCs/>
        </w:rPr>
      </w:pPr>
      <w:r w:rsidRPr="005C6F2B">
        <w:rPr>
          <w:rFonts w:ascii="Times New Roman" w:hAnsi="Times New Roman"/>
          <w:b/>
          <w:bCs/>
        </w:rPr>
        <w:t>Artículo</w:t>
      </w:r>
      <w:r>
        <w:rPr>
          <w:rFonts w:ascii="Times New Roman" w:hAnsi="Times New Roman"/>
          <w:b/>
          <w:bCs/>
        </w:rPr>
        <w:t xml:space="preserve"> 5</w:t>
      </w:r>
      <w:r w:rsidRPr="005C6F2B">
        <w:rPr>
          <w:rFonts w:ascii="Times New Roman" w:hAnsi="Times New Roman"/>
          <w:b/>
          <w:bCs/>
        </w:rPr>
        <w:t>.</w:t>
      </w:r>
      <w:r>
        <w:rPr>
          <w:rFonts w:ascii="Times New Roman" w:hAnsi="Times New Roman"/>
          <w:b/>
          <w:bCs/>
        </w:rPr>
        <w:t xml:space="preserve"> </w:t>
      </w:r>
      <w:r w:rsidRPr="004378AA">
        <w:rPr>
          <w:rFonts w:ascii="Times New Roman" w:hAnsi="Times New Roman"/>
          <w:bCs/>
        </w:rPr>
        <w:t>La Administración Distrital</w:t>
      </w:r>
      <w:r>
        <w:rPr>
          <w:rFonts w:ascii="Times New Roman" w:hAnsi="Times New Roman"/>
          <w:bCs/>
        </w:rPr>
        <w:t xml:space="preserve">, </w:t>
      </w:r>
      <w:r w:rsidRPr="008A760A">
        <w:rPr>
          <w:rFonts w:ascii="Times New Roman" w:hAnsi="Times New Roman"/>
          <w:bCs/>
        </w:rPr>
        <w:t xml:space="preserve">a </w:t>
      </w:r>
      <w:r w:rsidR="009A48D7">
        <w:rPr>
          <w:rFonts w:ascii="Times New Roman" w:hAnsi="Times New Roman"/>
          <w:bCs/>
        </w:rPr>
        <w:t>través de la Secretaría Distrital de Desarrollo Económico</w:t>
      </w:r>
      <w:r>
        <w:rPr>
          <w:rFonts w:ascii="Times New Roman" w:hAnsi="Times New Roman"/>
          <w:bCs/>
        </w:rPr>
        <w:t>,</w:t>
      </w:r>
      <w:r w:rsidRPr="004378AA">
        <w:rPr>
          <w:rFonts w:ascii="Times New Roman" w:hAnsi="Times New Roman"/>
          <w:bCs/>
        </w:rPr>
        <w:t xml:space="preserve"> fomentará</w:t>
      </w:r>
      <w:r>
        <w:rPr>
          <w:rFonts w:ascii="Times New Roman" w:hAnsi="Times New Roman"/>
          <w:bCs/>
        </w:rPr>
        <w:t xml:space="preserve"> alianzas con el sector privado para la ejecución de est</w:t>
      </w:r>
      <w:r w:rsidRPr="004378AA">
        <w:rPr>
          <w:rFonts w:ascii="Times New Roman" w:hAnsi="Times New Roman"/>
          <w:bCs/>
        </w:rPr>
        <w:t xml:space="preserve">a estrategia, las cuales deberán distinguir claramente </w:t>
      </w:r>
      <w:r>
        <w:rPr>
          <w:rFonts w:ascii="Times New Roman" w:hAnsi="Times New Roman"/>
          <w:bCs/>
        </w:rPr>
        <w:t xml:space="preserve">entre </w:t>
      </w:r>
      <w:r w:rsidRPr="004378AA">
        <w:rPr>
          <w:rFonts w:ascii="Times New Roman" w:hAnsi="Times New Roman"/>
          <w:bCs/>
        </w:rPr>
        <w:t xml:space="preserve">el ofrecimiento de capacitación y educación económica y financiera </w:t>
      </w:r>
      <w:r>
        <w:rPr>
          <w:rFonts w:ascii="Times New Roman" w:hAnsi="Times New Roman"/>
          <w:bCs/>
        </w:rPr>
        <w:t>y el</w:t>
      </w:r>
      <w:r w:rsidRPr="004378AA">
        <w:rPr>
          <w:rFonts w:ascii="Times New Roman" w:hAnsi="Times New Roman"/>
          <w:bCs/>
        </w:rPr>
        <w:t xml:space="preserve"> asesoramiento comercial para la adquisición de </w:t>
      </w:r>
      <w:r>
        <w:rPr>
          <w:rFonts w:ascii="Times New Roman" w:hAnsi="Times New Roman"/>
          <w:bCs/>
        </w:rPr>
        <w:t xml:space="preserve">los </w:t>
      </w:r>
      <w:r w:rsidRPr="004378AA">
        <w:rPr>
          <w:rFonts w:ascii="Times New Roman" w:hAnsi="Times New Roman"/>
          <w:bCs/>
        </w:rPr>
        <w:t>productos o servicios financieros</w:t>
      </w:r>
      <w:r>
        <w:rPr>
          <w:rFonts w:ascii="Times New Roman" w:hAnsi="Times New Roman"/>
          <w:bCs/>
        </w:rPr>
        <w:t xml:space="preserve"> establecidos en este Acuerdo</w:t>
      </w:r>
      <w:r w:rsidRPr="004378AA">
        <w:rPr>
          <w:rFonts w:ascii="Times New Roman" w:hAnsi="Times New Roman"/>
          <w:bCs/>
        </w:rPr>
        <w:t xml:space="preserve">. </w:t>
      </w:r>
    </w:p>
    <w:p w14:paraId="6F29B1F4" w14:textId="77777777" w:rsidR="006249B2" w:rsidRPr="00811D71" w:rsidRDefault="006249B2" w:rsidP="00747568">
      <w:pPr>
        <w:spacing w:line="276" w:lineRule="auto"/>
        <w:jc w:val="both"/>
        <w:rPr>
          <w:rFonts w:ascii="Times New Roman" w:hAnsi="Times New Roman"/>
          <w:bCs/>
        </w:rPr>
      </w:pPr>
    </w:p>
    <w:p w14:paraId="2D9CC485" w14:textId="2BF446AD" w:rsidR="006249B2" w:rsidRDefault="006249B2" w:rsidP="00747568">
      <w:pPr>
        <w:spacing w:after="240" w:line="276" w:lineRule="auto"/>
        <w:jc w:val="both"/>
        <w:rPr>
          <w:rFonts w:ascii="Times New Roman" w:hAnsi="Times New Roman"/>
          <w:bCs/>
        </w:rPr>
      </w:pPr>
      <w:r w:rsidRPr="005C6F2B">
        <w:rPr>
          <w:rFonts w:ascii="Times New Roman" w:hAnsi="Times New Roman"/>
          <w:b/>
          <w:bCs/>
        </w:rPr>
        <w:t>Artículo</w:t>
      </w:r>
      <w:r>
        <w:rPr>
          <w:rFonts w:ascii="Times New Roman" w:hAnsi="Times New Roman"/>
          <w:b/>
          <w:bCs/>
        </w:rPr>
        <w:t xml:space="preserve"> </w:t>
      </w:r>
      <w:r w:rsidR="00C03F8A">
        <w:rPr>
          <w:rFonts w:ascii="Times New Roman" w:hAnsi="Times New Roman"/>
          <w:b/>
          <w:bCs/>
        </w:rPr>
        <w:t>6</w:t>
      </w:r>
      <w:r w:rsidRPr="005C6F2B">
        <w:rPr>
          <w:rFonts w:ascii="Times New Roman" w:hAnsi="Times New Roman"/>
          <w:b/>
          <w:bCs/>
        </w:rPr>
        <w:t xml:space="preserve">. </w:t>
      </w:r>
      <w:r w:rsidRPr="008A760A">
        <w:rPr>
          <w:rFonts w:ascii="Times New Roman" w:hAnsi="Times New Roman"/>
          <w:bCs/>
        </w:rPr>
        <w:t xml:space="preserve">La Administración Distrital, a través de </w:t>
      </w:r>
      <w:r w:rsidR="009A48D7">
        <w:rPr>
          <w:rFonts w:ascii="Times New Roman" w:hAnsi="Times New Roman"/>
          <w:bCs/>
        </w:rPr>
        <w:t>la Secretaría Distrital de Desarrollo Económico</w:t>
      </w:r>
      <w:r w:rsidRPr="008A760A">
        <w:rPr>
          <w:rFonts w:ascii="Times New Roman" w:hAnsi="Times New Roman"/>
          <w:bCs/>
        </w:rPr>
        <w:t>,</w:t>
      </w:r>
      <w:r>
        <w:rPr>
          <w:rFonts w:ascii="Times New Roman" w:hAnsi="Times New Roman"/>
          <w:bCs/>
        </w:rPr>
        <w:t xml:space="preserve"> buscará </w:t>
      </w:r>
      <w:r w:rsidR="009A48D7">
        <w:rPr>
          <w:rFonts w:ascii="Times New Roman" w:hAnsi="Times New Roman"/>
          <w:bCs/>
        </w:rPr>
        <w:t xml:space="preserve">integrar </w:t>
      </w:r>
      <w:r w:rsidR="009A48D7" w:rsidRPr="009A48D7">
        <w:rPr>
          <w:rFonts w:ascii="Times New Roman" w:hAnsi="Times New Roman"/>
          <w:bCs/>
        </w:rPr>
        <w:t>la formación en el marco de Hecho en Bogotá con la Academia de Bogotá Productiva</w:t>
      </w:r>
      <w:r w:rsidR="009A48D7">
        <w:rPr>
          <w:rFonts w:ascii="Times New Roman" w:hAnsi="Times New Roman"/>
          <w:bCs/>
        </w:rPr>
        <w:t>, como mecanismo para fortalecer los procesos de</w:t>
      </w:r>
      <w:r w:rsidRPr="00C24888">
        <w:rPr>
          <w:rFonts w:ascii="Times New Roman" w:hAnsi="Times New Roman"/>
          <w:bCs/>
        </w:rPr>
        <w:t xml:space="preserve"> </w:t>
      </w:r>
      <w:r w:rsidR="009A48D7">
        <w:rPr>
          <w:rFonts w:ascii="Times New Roman" w:hAnsi="Times New Roman"/>
          <w:bCs/>
        </w:rPr>
        <w:t>capacitación</w:t>
      </w:r>
      <w:r w:rsidRPr="00C24888">
        <w:rPr>
          <w:rFonts w:ascii="Times New Roman" w:hAnsi="Times New Roman"/>
          <w:bCs/>
        </w:rPr>
        <w:t xml:space="preserve"> empresaria</w:t>
      </w:r>
      <w:r w:rsidRPr="00DC76FF">
        <w:rPr>
          <w:rFonts w:ascii="Times New Roman" w:hAnsi="Times New Roman"/>
          <w:bCs/>
        </w:rPr>
        <w:t>l</w:t>
      </w:r>
      <w:r>
        <w:rPr>
          <w:rFonts w:ascii="Times New Roman" w:hAnsi="Times New Roman"/>
          <w:bCs/>
        </w:rPr>
        <w:t xml:space="preserve"> </w:t>
      </w:r>
      <w:r w:rsidR="009A48D7">
        <w:rPr>
          <w:rFonts w:ascii="Times New Roman" w:hAnsi="Times New Roman"/>
          <w:bCs/>
        </w:rPr>
        <w:t>productiva, adicionando contenidos modulares formativos en</w:t>
      </w:r>
      <w:r w:rsidRPr="00DC76FF">
        <w:rPr>
          <w:rFonts w:ascii="Times New Roman" w:hAnsi="Times New Roman"/>
          <w:bCs/>
        </w:rPr>
        <w:t xml:space="preserve">: </w:t>
      </w:r>
    </w:p>
    <w:p w14:paraId="722BE4ED" w14:textId="76BF8DF5" w:rsidR="006249B2" w:rsidRPr="008A760A" w:rsidRDefault="009A48D7" w:rsidP="00747568">
      <w:pPr>
        <w:pStyle w:val="Prrafodelista"/>
        <w:numPr>
          <w:ilvl w:val="0"/>
          <w:numId w:val="17"/>
        </w:numPr>
        <w:spacing w:after="240" w:line="276" w:lineRule="auto"/>
        <w:jc w:val="both"/>
        <w:rPr>
          <w:rFonts w:ascii="Times New Roman" w:hAnsi="Times New Roman"/>
          <w:b/>
          <w:bCs/>
        </w:rPr>
      </w:pPr>
      <w:r>
        <w:rPr>
          <w:rFonts w:ascii="Times New Roman" w:hAnsi="Times New Roman"/>
          <w:bCs/>
        </w:rPr>
        <w:t>D</w:t>
      </w:r>
      <w:r w:rsidR="006249B2" w:rsidRPr="008A760A">
        <w:rPr>
          <w:rFonts w:ascii="Times New Roman" w:hAnsi="Times New Roman"/>
          <w:bCs/>
        </w:rPr>
        <w:t xml:space="preserve">iseño de pitch financiero, </w:t>
      </w:r>
    </w:p>
    <w:p w14:paraId="18FA444C" w14:textId="77777777" w:rsidR="006249B2" w:rsidRPr="008A760A" w:rsidRDefault="006249B2" w:rsidP="00747568">
      <w:pPr>
        <w:pStyle w:val="Prrafodelista"/>
        <w:numPr>
          <w:ilvl w:val="0"/>
          <w:numId w:val="17"/>
        </w:numPr>
        <w:spacing w:after="240" w:line="276" w:lineRule="auto"/>
        <w:jc w:val="both"/>
        <w:rPr>
          <w:rFonts w:ascii="Times New Roman" w:hAnsi="Times New Roman"/>
          <w:b/>
          <w:bCs/>
        </w:rPr>
      </w:pPr>
      <w:r w:rsidRPr="008A760A">
        <w:rPr>
          <w:rFonts w:ascii="Times New Roman" w:hAnsi="Times New Roman"/>
          <w:bCs/>
        </w:rPr>
        <w:t xml:space="preserve">gobernanza corporativa, </w:t>
      </w:r>
    </w:p>
    <w:p w14:paraId="541AD62C" w14:textId="77777777" w:rsidR="006249B2" w:rsidRPr="008A760A" w:rsidRDefault="006249B2" w:rsidP="00747568">
      <w:pPr>
        <w:pStyle w:val="Prrafodelista"/>
        <w:numPr>
          <w:ilvl w:val="0"/>
          <w:numId w:val="17"/>
        </w:numPr>
        <w:spacing w:after="240" w:line="276" w:lineRule="auto"/>
        <w:jc w:val="both"/>
        <w:rPr>
          <w:rFonts w:ascii="Times New Roman" w:hAnsi="Times New Roman"/>
          <w:b/>
          <w:bCs/>
        </w:rPr>
      </w:pPr>
      <w:r w:rsidRPr="008A760A">
        <w:rPr>
          <w:rFonts w:ascii="Times New Roman" w:hAnsi="Times New Roman"/>
          <w:bCs/>
        </w:rPr>
        <w:t xml:space="preserve">valoración de empresas, </w:t>
      </w:r>
    </w:p>
    <w:p w14:paraId="24974987" w14:textId="77777777" w:rsidR="006249B2" w:rsidRPr="008A760A" w:rsidRDefault="006249B2" w:rsidP="00747568">
      <w:pPr>
        <w:pStyle w:val="Prrafodelista"/>
        <w:numPr>
          <w:ilvl w:val="0"/>
          <w:numId w:val="17"/>
        </w:numPr>
        <w:spacing w:after="240" w:line="276" w:lineRule="auto"/>
        <w:jc w:val="both"/>
        <w:rPr>
          <w:rFonts w:ascii="Times New Roman" w:hAnsi="Times New Roman"/>
          <w:b/>
          <w:bCs/>
        </w:rPr>
      </w:pPr>
      <w:r w:rsidRPr="008A760A">
        <w:rPr>
          <w:rFonts w:ascii="Times New Roman" w:hAnsi="Times New Roman"/>
          <w:bCs/>
        </w:rPr>
        <w:t xml:space="preserve">negociación con fondos, </w:t>
      </w:r>
    </w:p>
    <w:p w14:paraId="5AEC76F7" w14:textId="77777777" w:rsidR="006249B2" w:rsidRPr="008A760A" w:rsidRDefault="006249B2" w:rsidP="00747568">
      <w:pPr>
        <w:pStyle w:val="Prrafodelista"/>
        <w:numPr>
          <w:ilvl w:val="0"/>
          <w:numId w:val="17"/>
        </w:numPr>
        <w:spacing w:after="240" w:line="276" w:lineRule="auto"/>
        <w:jc w:val="both"/>
        <w:rPr>
          <w:rFonts w:ascii="Times New Roman" w:hAnsi="Times New Roman"/>
          <w:b/>
          <w:bCs/>
        </w:rPr>
      </w:pPr>
      <w:r>
        <w:rPr>
          <w:rFonts w:ascii="Times New Roman" w:hAnsi="Times New Roman"/>
          <w:bCs/>
        </w:rPr>
        <w:t>elaboración de hoja de términos (</w:t>
      </w:r>
      <w:r>
        <w:rPr>
          <w:rFonts w:ascii="Times New Roman" w:hAnsi="Times New Roman"/>
          <w:bCs/>
          <w:i/>
        </w:rPr>
        <w:t>Tern Sheet</w:t>
      </w:r>
      <w:r>
        <w:rPr>
          <w:rFonts w:ascii="Times New Roman" w:hAnsi="Times New Roman"/>
          <w:bCs/>
        </w:rPr>
        <w:t>),</w:t>
      </w:r>
    </w:p>
    <w:p w14:paraId="3C9CC10A" w14:textId="77777777" w:rsidR="006249B2" w:rsidRPr="008A760A" w:rsidRDefault="006249B2" w:rsidP="00747568">
      <w:pPr>
        <w:pStyle w:val="Prrafodelista"/>
        <w:numPr>
          <w:ilvl w:val="0"/>
          <w:numId w:val="17"/>
        </w:numPr>
        <w:spacing w:after="240" w:line="276" w:lineRule="auto"/>
        <w:jc w:val="both"/>
        <w:rPr>
          <w:rFonts w:ascii="Times New Roman" w:hAnsi="Times New Roman"/>
          <w:b/>
          <w:bCs/>
        </w:rPr>
      </w:pPr>
      <w:r w:rsidRPr="008A760A">
        <w:rPr>
          <w:rFonts w:ascii="Times New Roman" w:hAnsi="Times New Roman"/>
          <w:bCs/>
        </w:rPr>
        <w:t xml:space="preserve">herramientas </w:t>
      </w:r>
      <w:r>
        <w:rPr>
          <w:rFonts w:ascii="Times New Roman" w:hAnsi="Times New Roman"/>
          <w:bCs/>
        </w:rPr>
        <w:t xml:space="preserve">tecnológicas financieras como modelación financiera y </w:t>
      </w:r>
      <w:r>
        <w:rPr>
          <w:rFonts w:ascii="Times New Roman" w:hAnsi="Times New Roman"/>
          <w:bCs/>
          <w:i/>
        </w:rPr>
        <w:t>data rooms</w:t>
      </w:r>
      <w:r>
        <w:rPr>
          <w:rFonts w:ascii="Times New Roman" w:hAnsi="Times New Roman"/>
          <w:bCs/>
        </w:rPr>
        <w:t>,</w:t>
      </w:r>
    </w:p>
    <w:p w14:paraId="64A67845" w14:textId="77777777" w:rsidR="006249B2" w:rsidRPr="00BE173F" w:rsidRDefault="006249B2" w:rsidP="00747568">
      <w:pPr>
        <w:pStyle w:val="Prrafodelista"/>
        <w:numPr>
          <w:ilvl w:val="0"/>
          <w:numId w:val="17"/>
        </w:numPr>
        <w:spacing w:after="240" w:line="276" w:lineRule="auto"/>
        <w:jc w:val="both"/>
        <w:rPr>
          <w:rFonts w:ascii="Times New Roman" w:hAnsi="Times New Roman"/>
          <w:b/>
          <w:bCs/>
        </w:rPr>
      </w:pPr>
      <w:r w:rsidRPr="008A760A">
        <w:rPr>
          <w:rFonts w:ascii="Times New Roman" w:hAnsi="Times New Roman"/>
          <w:bCs/>
        </w:rPr>
        <w:t>proyecciones de retornos</w:t>
      </w:r>
      <w:r>
        <w:rPr>
          <w:rFonts w:ascii="Times New Roman" w:hAnsi="Times New Roman"/>
          <w:bCs/>
        </w:rPr>
        <w:t xml:space="preserve"> de inversiones,</w:t>
      </w:r>
    </w:p>
    <w:p w14:paraId="534CC4DA" w14:textId="716056FD" w:rsidR="006249B2" w:rsidRPr="00CC7888" w:rsidRDefault="006249B2" w:rsidP="00747568">
      <w:pPr>
        <w:pStyle w:val="Prrafodelista"/>
        <w:numPr>
          <w:ilvl w:val="0"/>
          <w:numId w:val="17"/>
        </w:numPr>
        <w:spacing w:after="240" w:line="276" w:lineRule="auto"/>
        <w:jc w:val="both"/>
        <w:rPr>
          <w:rFonts w:ascii="Times New Roman" w:hAnsi="Times New Roman"/>
          <w:b/>
          <w:bCs/>
        </w:rPr>
      </w:pPr>
      <w:r>
        <w:rPr>
          <w:rFonts w:ascii="Times New Roman" w:hAnsi="Times New Roman"/>
          <w:bCs/>
        </w:rPr>
        <w:t>y otros que la Administración considere pertinentes.</w:t>
      </w:r>
    </w:p>
    <w:p w14:paraId="619F7C07" w14:textId="49AAA8B1" w:rsidR="00CC7888" w:rsidRDefault="006249B2" w:rsidP="00747568">
      <w:pPr>
        <w:spacing w:line="276" w:lineRule="auto"/>
        <w:jc w:val="both"/>
        <w:rPr>
          <w:rFonts w:ascii="Times New Roman" w:hAnsi="Times New Roman"/>
        </w:rPr>
      </w:pPr>
      <w:r w:rsidRPr="00CC7888">
        <w:rPr>
          <w:rFonts w:ascii="Times New Roman" w:eastAsia="Calibri" w:hAnsi="Times New Roman"/>
          <w:b/>
        </w:rPr>
        <w:t xml:space="preserve">Artículo </w:t>
      </w:r>
      <w:r w:rsidR="00C03F8A">
        <w:rPr>
          <w:rFonts w:ascii="Times New Roman" w:eastAsia="Calibri" w:hAnsi="Times New Roman"/>
          <w:b/>
        </w:rPr>
        <w:t>7</w:t>
      </w:r>
      <w:r w:rsidR="00CC7888" w:rsidRPr="00CC7888">
        <w:rPr>
          <w:rFonts w:ascii="Times New Roman" w:hAnsi="Times New Roman"/>
          <w:b/>
          <w:bCs/>
        </w:rPr>
        <w:t xml:space="preserve">. Incentivos al sector financiero por grandes inversiones. </w:t>
      </w:r>
      <w:r w:rsidR="00CC7888" w:rsidRPr="00CC7888">
        <w:rPr>
          <w:rFonts w:ascii="Times New Roman" w:hAnsi="Times New Roman"/>
        </w:rPr>
        <w:t xml:space="preserve">Quienes desarrollen actividades financieras y cumplan con los siguientes requisitos podrán acceder a una exención progresiva en: </w:t>
      </w:r>
    </w:p>
    <w:p w14:paraId="4D540086" w14:textId="77777777" w:rsidR="00CC7888" w:rsidRPr="00CC7888" w:rsidRDefault="00CC7888" w:rsidP="00747568">
      <w:pPr>
        <w:spacing w:line="276" w:lineRule="auto"/>
        <w:ind w:left="360"/>
        <w:jc w:val="both"/>
        <w:rPr>
          <w:rFonts w:ascii="Times New Roman" w:hAnsi="Times New Roman"/>
        </w:rPr>
      </w:pPr>
    </w:p>
    <w:p w14:paraId="3E661167" w14:textId="77777777" w:rsidR="00CC7888" w:rsidRPr="00CC7888" w:rsidRDefault="00CC7888" w:rsidP="00747568">
      <w:pPr>
        <w:pStyle w:val="Prrafodelista"/>
        <w:numPr>
          <w:ilvl w:val="0"/>
          <w:numId w:val="21"/>
        </w:numPr>
        <w:spacing w:after="160" w:line="276" w:lineRule="auto"/>
        <w:contextualSpacing/>
        <w:jc w:val="both"/>
        <w:rPr>
          <w:rFonts w:ascii="Times New Roman" w:hAnsi="Times New Roman"/>
        </w:rPr>
      </w:pPr>
      <w:r w:rsidRPr="00CC7888">
        <w:rPr>
          <w:rFonts w:ascii="Times New Roman" w:hAnsi="Times New Roman"/>
          <w:b/>
          <w:bCs/>
        </w:rPr>
        <w:t>Impuesto de Industria y Comercio por grandes inversiones.</w:t>
      </w:r>
    </w:p>
    <w:p w14:paraId="6CB675BB" w14:textId="77777777" w:rsidR="00CC7888" w:rsidRPr="00CC7888" w:rsidRDefault="00CC7888" w:rsidP="00747568">
      <w:pPr>
        <w:pStyle w:val="Prrafodelista"/>
        <w:spacing w:line="276" w:lineRule="auto"/>
        <w:ind w:left="1080"/>
        <w:jc w:val="both"/>
        <w:rPr>
          <w:rFonts w:ascii="Times New Roman" w:hAnsi="Times New Roman"/>
        </w:rPr>
      </w:pPr>
    </w:p>
    <w:p w14:paraId="2ECF748E" w14:textId="77777777" w:rsidR="00CC7888" w:rsidRPr="00CC7888" w:rsidRDefault="00CC7888" w:rsidP="00747568">
      <w:pPr>
        <w:pStyle w:val="Prrafodelista"/>
        <w:numPr>
          <w:ilvl w:val="0"/>
          <w:numId w:val="22"/>
        </w:numPr>
        <w:spacing w:after="160" w:line="276" w:lineRule="auto"/>
        <w:contextualSpacing/>
        <w:jc w:val="both"/>
        <w:rPr>
          <w:rFonts w:ascii="Times New Roman" w:hAnsi="Times New Roman"/>
        </w:rPr>
      </w:pPr>
      <w:r w:rsidRPr="00CC7888">
        <w:rPr>
          <w:rFonts w:ascii="Times New Roman" w:hAnsi="Times New Roman"/>
        </w:rPr>
        <w:t xml:space="preserve">Con posterioridad a la publicación del presente acuerdo, contribuir en al menos 51% de la financiación de </w:t>
      </w:r>
      <w:r w:rsidRPr="00CC7888">
        <w:rPr>
          <w:rFonts w:ascii="Times New Roman" w:hAnsi="Times New Roman"/>
          <w:b/>
          <w:bCs/>
        </w:rPr>
        <w:t>dos o más</w:t>
      </w:r>
      <w:r w:rsidRPr="00CC7888">
        <w:rPr>
          <w:rFonts w:ascii="Times New Roman" w:hAnsi="Times New Roman"/>
        </w:rPr>
        <w:t xml:space="preserve"> proyectos de inversión para el desarrollo de cualquiera de las siguientes actividades en el Distrito Capital:</w:t>
      </w:r>
    </w:p>
    <w:p w14:paraId="67B73B88" w14:textId="77777777" w:rsidR="00CC7888" w:rsidRPr="00CC7888" w:rsidRDefault="00CC7888" w:rsidP="00747568">
      <w:pPr>
        <w:pStyle w:val="Prrafodelista"/>
        <w:spacing w:line="276" w:lineRule="auto"/>
        <w:ind w:left="1080"/>
        <w:jc w:val="center"/>
        <w:rPr>
          <w:rFonts w:ascii="Times New Roman" w:hAnsi="Times New Roman"/>
        </w:rPr>
      </w:pPr>
    </w:p>
    <w:p w14:paraId="0C148E75" w14:textId="77777777" w:rsidR="00C03F8A" w:rsidRDefault="00C03F8A" w:rsidP="00747568">
      <w:pPr>
        <w:pStyle w:val="Prrafodelista"/>
        <w:spacing w:line="276" w:lineRule="auto"/>
        <w:ind w:left="1080"/>
        <w:jc w:val="center"/>
      </w:pPr>
    </w:p>
    <w:tbl>
      <w:tblPr>
        <w:tblW w:w="8931" w:type="dxa"/>
        <w:tblInd w:w="-5" w:type="dxa"/>
        <w:tblCellMar>
          <w:left w:w="70" w:type="dxa"/>
          <w:right w:w="70" w:type="dxa"/>
        </w:tblCellMar>
        <w:tblLook w:val="04A0" w:firstRow="1" w:lastRow="0" w:firstColumn="1" w:lastColumn="0" w:noHBand="0" w:noVBand="1"/>
      </w:tblPr>
      <w:tblGrid>
        <w:gridCol w:w="1276"/>
        <w:gridCol w:w="7655"/>
      </w:tblGrid>
      <w:tr w:rsidR="00C03F8A" w:rsidRPr="00AD6FA9" w14:paraId="5FA307E7" w14:textId="77777777" w:rsidTr="00C03F8A">
        <w:trPr>
          <w:trHeight w:val="300"/>
        </w:trPr>
        <w:tc>
          <w:tcPr>
            <w:tcW w:w="1276" w:type="dxa"/>
            <w:tcBorders>
              <w:top w:val="single" w:sz="4" w:space="0" w:color="999999"/>
              <w:left w:val="single" w:sz="4" w:space="0" w:color="999999"/>
              <w:bottom w:val="single" w:sz="4" w:space="0" w:color="999999"/>
              <w:right w:val="single" w:sz="4" w:space="0" w:color="999999"/>
            </w:tcBorders>
            <w:noWrap/>
            <w:vAlign w:val="bottom"/>
            <w:hideMark/>
          </w:tcPr>
          <w:p w14:paraId="0BA9D4C1" w14:textId="77777777" w:rsidR="00C03F8A" w:rsidRPr="00AD6FA9" w:rsidRDefault="00C03F8A" w:rsidP="00747568">
            <w:pPr>
              <w:spacing w:line="276" w:lineRule="auto"/>
              <w:jc w:val="center"/>
              <w:rPr>
                <w:rFonts w:ascii="Calibri" w:hAnsi="Calibri" w:cs="Calibri"/>
                <w:b/>
                <w:bCs/>
                <w:sz w:val="22"/>
                <w:lang w:eastAsia="es-CO"/>
              </w:rPr>
            </w:pPr>
            <w:r w:rsidRPr="00AD6FA9">
              <w:rPr>
                <w:rFonts w:ascii="Calibri" w:hAnsi="Calibri" w:cs="Calibri"/>
                <w:b/>
                <w:bCs/>
                <w:sz w:val="22"/>
                <w:lang w:eastAsia="es-CO"/>
              </w:rPr>
              <w:t>Sector de actividad</w:t>
            </w:r>
          </w:p>
        </w:tc>
        <w:tc>
          <w:tcPr>
            <w:tcW w:w="7655" w:type="dxa"/>
            <w:tcBorders>
              <w:top w:val="single" w:sz="4" w:space="0" w:color="999999"/>
              <w:left w:val="nil"/>
              <w:bottom w:val="single" w:sz="4" w:space="0" w:color="999999"/>
              <w:right w:val="single" w:sz="4" w:space="0" w:color="999999"/>
            </w:tcBorders>
            <w:noWrap/>
            <w:vAlign w:val="bottom"/>
            <w:hideMark/>
          </w:tcPr>
          <w:p w14:paraId="0D53B713" w14:textId="77777777" w:rsidR="00C03F8A" w:rsidRPr="00AD6FA9" w:rsidRDefault="00C03F8A" w:rsidP="00747568">
            <w:pPr>
              <w:spacing w:line="276" w:lineRule="auto"/>
              <w:jc w:val="center"/>
              <w:rPr>
                <w:rFonts w:ascii="Calibri" w:hAnsi="Calibri" w:cs="Calibri"/>
                <w:b/>
                <w:bCs/>
                <w:sz w:val="22"/>
                <w:lang w:eastAsia="es-CO"/>
              </w:rPr>
            </w:pPr>
            <w:r w:rsidRPr="00AD6FA9">
              <w:rPr>
                <w:rFonts w:ascii="Calibri" w:hAnsi="Calibri" w:cs="Calibri"/>
                <w:b/>
                <w:bCs/>
                <w:sz w:val="22"/>
                <w:lang w:eastAsia="es-CO"/>
              </w:rPr>
              <w:t>Descripción</w:t>
            </w:r>
          </w:p>
        </w:tc>
      </w:tr>
      <w:tr w:rsidR="00C03F8A" w:rsidRPr="00AD6FA9" w14:paraId="4A2959EA"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0C730502"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3393DA4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Procesamiento y conservación de carne y productos cárnicos</w:t>
            </w:r>
          </w:p>
        </w:tc>
      </w:tr>
      <w:tr w:rsidR="00C03F8A" w:rsidRPr="00AD6FA9" w14:paraId="77B3D1CC"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2F6B3F79"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406EDA2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Elaboración de cacao, chocolate y productos de confitería</w:t>
            </w:r>
          </w:p>
        </w:tc>
      </w:tr>
      <w:tr w:rsidR="00C03F8A" w:rsidRPr="00AD6FA9" w14:paraId="1B0AFE3D"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488471D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1C0F891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Elaboración de otros productos alimenticios n.c.p.</w:t>
            </w:r>
          </w:p>
        </w:tc>
      </w:tr>
      <w:tr w:rsidR="00C03F8A" w:rsidRPr="00AD6FA9" w14:paraId="449E5E47"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FC83D8F"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0FEE50C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Preparación e hilatura de fibras textiles</w:t>
            </w:r>
          </w:p>
        </w:tc>
      </w:tr>
      <w:tr w:rsidR="00C03F8A" w:rsidRPr="00AD6FA9" w14:paraId="71586F0C"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A939E2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5C2778F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Tejeduría de productos textiles</w:t>
            </w:r>
          </w:p>
        </w:tc>
      </w:tr>
      <w:tr w:rsidR="00C03F8A" w:rsidRPr="00AD6FA9" w14:paraId="492B35AE"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68A91EF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3B15AA18"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Confección de artículos con materiales textiles, excepto prendas de vestir</w:t>
            </w:r>
          </w:p>
        </w:tc>
      </w:tr>
      <w:tr w:rsidR="00C03F8A" w:rsidRPr="00AD6FA9" w14:paraId="3C6AAD6F"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9B741AF"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265F988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tapetes y alfombras para pisos</w:t>
            </w:r>
          </w:p>
        </w:tc>
      </w:tr>
      <w:tr w:rsidR="00C03F8A" w:rsidRPr="00AD6FA9" w14:paraId="64419C86"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38C5EF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1B248CF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otros artículos textiles n.c.p.</w:t>
            </w:r>
          </w:p>
        </w:tc>
      </w:tr>
      <w:tr w:rsidR="00C03F8A" w:rsidRPr="00AD6FA9" w14:paraId="2DB1E1A2"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441EBFF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6AB7F15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Confección de prendas de vestir, excepto prendas de piel</w:t>
            </w:r>
          </w:p>
        </w:tc>
      </w:tr>
      <w:tr w:rsidR="00C03F8A" w:rsidRPr="00AD6FA9" w14:paraId="1A4B5B5B" w14:textId="77777777" w:rsidTr="00C03F8A">
        <w:trPr>
          <w:trHeight w:val="1200"/>
        </w:trPr>
        <w:tc>
          <w:tcPr>
            <w:tcW w:w="1276" w:type="dxa"/>
            <w:tcBorders>
              <w:top w:val="nil"/>
              <w:left w:val="single" w:sz="4" w:space="0" w:color="999999"/>
              <w:bottom w:val="single" w:sz="4" w:space="0" w:color="999999"/>
              <w:right w:val="single" w:sz="4" w:space="0" w:color="999999"/>
            </w:tcBorders>
            <w:noWrap/>
            <w:vAlign w:val="bottom"/>
            <w:hideMark/>
          </w:tcPr>
          <w:p w14:paraId="1C29CD9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0AC09CC8"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hojas de madera para enchapado; fabricación de tableros contrachapados, tableros laminados, tableros de partículas y otros tableros y paneles</w:t>
            </w:r>
          </w:p>
        </w:tc>
      </w:tr>
      <w:tr w:rsidR="00C03F8A" w:rsidRPr="00AD6FA9" w14:paraId="0057FCFD"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57FC7C7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0C3FA2DF"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sustancias y productos químicos básicos</w:t>
            </w:r>
          </w:p>
        </w:tc>
      </w:tr>
      <w:tr w:rsidR="00C03F8A" w:rsidRPr="00AD6FA9" w14:paraId="02F09899"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4A911D52"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3C1EC17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abonos y compuestos inorgánicos nitrogenados</w:t>
            </w:r>
          </w:p>
        </w:tc>
      </w:tr>
      <w:tr w:rsidR="00C03F8A" w:rsidRPr="00AD6FA9" w14:paraId="355A23A8"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31AD90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1805E62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plásticos en formas primarias</w:t>
            </w:r>
          </w:p>
        </w:tc>
      </w:tr>
      <w:tr w:rsidR="00C03F8A" w:rsidRPr="00AD6FA9" w14:paraId="20541A25"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5E16A93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2665896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caucho sintético en formas primarias</w:t>
            </w:r>
          </w:p>
        </w:tc>
      </w:tr>
      <w:tr w:rsidR="00C03F8A" w:rsidRPr="00AD6FA9" w14:paraId="4A2B5E47"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557BB0F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0541D8E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otros productos químicos n.c.p.</w:t>
            </w:r>
          </w:p>
        </w:tc>
      </w:tr>
      <w:tr w:rsidR="00C03F8A" w:rsidRPr="00AD6FA9" w14:paraId="09EB9579"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7CCC9864"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4FFF22E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fibras sintéticas y artificiales</w:t>
            </w:r>
          </w:p>
        </w:tc>
      </w:tr>
      <w:tr w:rsidR="00C03F8A" w:rsidRPr="00AD6FA9" w14:paraId="1D2B3604" w14:textId="77777777" w:rsidTr="00C03F8A">
        <w:trPr>
          <w:trHeight w:val="900"/>
        </w:trPr>
        <w:tc>
          <w:tcPr>
            <w:tcW w:w="1276" w:type="dxa"/>
            <w:tcBorders>
              <w:top w:val="nil"/>
              <w:left w:val="single" w:sz="4" w:space="0" w:color="999999"/>
              <w:bottom w:val="single" w:sz="4" w:space="0" w:color="999999"/>
              <w:right w:val="single" w:sz="4" w:space="0" w:color="999999"/>
            </w:tcBorders>
            <w:noWrap/>
            <w:vAlign w:val="bottom"/>
            <w:hideMark/>
          </w:tcPr>
          <w:p w14:paraId="2DD1FF5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6C3DE29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productos farmacéuticos, sustancias químicas medicinales y productos botánicos de uso farmacéutico</w:t>
            </w:r>
          </w:p>
        </w:tc>
      </w:tr>
      <w:tr w:rsidR="00C03F8A" w:rsidRPr="00AD6FA9" w14:paraId="4FB1B7A2"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1DC40BE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0509453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formas básicas de caucho y otros productos de caucho n.c.p.</w:t>
            </w:r>
          </w:p>
        </w:tc>
      </w:tr>
      <w:tr w:rsidR="00C03F8A" w:rsidRPr="00AD6FA9" w14:paraId="57CA3A40"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FDE9B7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49FF075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vidrio y productos de vidrio</w:t>
            </w:r>
          </w:p>
        </w:tc>
      </w:tr>
      <w:tr w:rsidR="00C03F8A" w:rsidRPr="00AD6FA9" w14:paraId="562F9B5A"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4297D5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46B984F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productos refractarios</w:t>
            </w:r>
          </w:p>
        </w:tc>
      </w:tr>
      <w:tr w:rsidR="00C03F8A" w:rsidRPr="00AD6FA9" w14:paraId="5DEF15A6"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7B67A36F"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51F5CE1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otros productos minerales no metálicos n.c.p.</w:t>
            </w:r>
          </w:p>
        </w:tc>
      </w:tr>
      <w:tr w:rsidR="00C03F8A" w:rsidRPr="00AD6FA9" w14:paraId="21681FDD"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81E795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0421D80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artículos de cuchillería, herramientas de mano y artículos de ferretería</w:t>
            </w:r>
          </w:p>
        </w:tc>
      </w:tr>
      <w:tr w:rsidR="00C03F8A" w:rsidRPr="00AD6FA9" w14:paraId="6D86D58D"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29B2D0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061BA49D"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otros productos elaborados de metal n.c.p.</w:t>
            </w:r>
          </w:p>
        </w:tc>
      </w:tr>
      <w:tr w:rsidR="00C03F8A" w:rsidRPr="00AD6FA9" w14:paraId="5B240F38"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8BB7D1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BBB4A7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componentes y tableros electrónicos</w:t>
            </w:r>
          </w:p>
        </w:tc>
      </w:tr>
      <w:tr w:rsidR="00C03F8A" w:rsidRPr="00AD6FA9" w14:paraId="22020557"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168B17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86DA93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computadoras y de equipo periférico</w:t>
            </w:r>
          </w:p>
        </w:tc>
      </w:tr>
      <w:tr w:rsidR="00C03F8A" w:rsidRPr="00AD6FA9" w14:paraId="4A37F708"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4293AA6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35FD1C6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equipos de comunicación</w:t>
            </w:r>
          </w:p>
        </w:tc>
      </w:tr>
      <w:tr w:rsidR="00C03F8A" w:rsidRPr="00AD6FA9" w14:paraId="2A92B515"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00CD6A8"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6793C252"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aparatos electrónicos de consumo</w:t>
            </w:r>
          </w:p>
        </w:tc>
      </w:tr>
      <w:tr w:rsidR="00C03F8A" w:rsidRPr="00AD6FA9" w14:paraId="36312736"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5939B2A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1588A51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equipo de medición, prueba, navegación y control</w:t>
            </w:r>
          </w:p>
        </w:tc>
      </w:tr>
      <w:tr w:rsidR="00C03F8A" w:rsidRPr="00AD6FA9" w14:paraId="213B2D51"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6BA18A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C4FECC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relojes</w:t>
            </w:r>
          </w:p>
        </w:tc>
      </w:tr>
      <w:tr w:rsidR="00C03F8A" w:rsidRPr="00AD6FA9" w14:paraId="1141B907"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764637B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ED3752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instrumentos ópticos y equipo fotográfico</w:t>
            </w:r>
          </w:p>
        </w:tc>
      </w:tr>
      <w:tr w:rsidR="00C03F8A" w:rsidRPr="00AD6FA9" w14:paraId="7BF02A6C"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2163F80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132E8D5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medios magnéticos y ópticos para almacenamiento de datos</w:t>
            </w:r>
          </w:p>
        </w:tc>
      </w:tr>
      <w:tr w:rsidR="00C03F8A" w:rsidRPr="00AD6FA9" w14:paraId="4D35EAE4"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479874CF"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3EC6018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motores, generadores y transformadores eléctricos</w:t>
            </w:r>
          </w:p>
        </w:tc>
      </w:tr>
      <w:tr w:rsidR="00C03F8A" w:rsidRPr="00AD6FA9" w14:paraId="5CE4FC7B"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28810BE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9B2D6BD"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aparatos de distribución y control de la energía eléctrica</w:t>
            </w:r>
          </w:p>
        </w:tc>
      </w:tr>
      <w:tr w:rsidR="00C03F8A" w:rsidRPr="00AD6FA9" w14:paraId="4B2B6AA8"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57B6E33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1E375102"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pilas, baterías y acumuladores eléctricos</w:t>
            </w:r>
          </w:p>
        </w:tc>
      </w:tr>
      <w:tr w:rsidR="00C03F8A" w:rsidRPr="00AD6FA9" w14:paraId="3D1056B9"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5BA779F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42FE9E6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otros tipos de equipo eléctrico n.c.p.</w:t>
            </w:r>
          </w:p>
        </w:tc>
      </w:tr>
      <w:tr w:rsidR="00C03F8A" w:rsidRPr="00AD6FA9" w14:paraId="1F0D6D13"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6DBC79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28855B54"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equipos de potencia hidráulica y neumática</w:t>
            </w:r>
          </w:p>
        </w:tc>
      </w:tr>
      <w:tr w:rsidR="00C03F8A" w:rsidRPr="00AD6FA9" w14:paraId="14345EE8"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611E3749"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5F3BCD0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otras bombas, compresores, grifos y válvulas</w:t>
            </w:r>
          </w:p>
        </w:tc>
      </w:tr>
      <w:tr w:rsidR="00C03F8A" w:rsidRPr="00AD6FA9" w14:paraId="0A1E4273"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8299EF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2FC3EB1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cojinetes, engranajes, trenes de engranajes y piezas de transmisión</w:t>
            </w:r>
          </w:p>
        </w:tc>
      </w:tr>
      <w:tr w:rsidR="00C03F8A" w:rsidRPr="00AD6FA9" w14:paraId="6DFDA81B"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45E7E3A2"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6C149DF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equipo de elevación y manipulación</w:t>
            </w:r>
          </w:p>
        </w:tc>
      </w:tr>
      <w:tr w:rsidR="00C03F8A" w:rsidRPr="00AD6FA9" w14:paraId="1622BBDA"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72712D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1098AE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otros tipos de maquinaria y equipo de uso general n.c.p.</w:t>
            </w:r>
          </w:p>
        </w:tc>
      </w:tr>
      <w:tr w:rsidR="00C03F8A" w:rsidRPr="00AD6FA9" w14:paraId="590F2C6E"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4D8D5E74"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436D743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maquinaria agropecuaria y forestal</w:t>
            </w:r>
          </w:p>
        </w:tc>
      </w:tr>
      <w:tr w:rsidR="00C03F8A" w:rsidRPr="00AD6FA9" w14:paraId="3E99B848"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6284D6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432D5EC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máquinas formadoras de metal y de máquinas herramienta</w:t>
            </w:r>
          </w:p>
        </w:tc>
      </w:tr>
      <w:tr w:rsidR="00C03F8A" w:rsidRPr="00AD6FA9" w14:paraId="1386D050"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2A3F80A4"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6136EF4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otros tipos de maquinaria y equipo de uso especial n.c.p.</w:t>
            </w:r>
          </w:p>
        </w:tc>
      </w:tr>
      <w:tr w:rsidR="00C03F8A" w:rsidRPr="00AD6FA9" w14:paraId="28473848"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35F24C2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2B604BC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vehículos automotores y sus motores</w:t>
            </w:r>
          </w:p>
        </w:tc>
      </w:tr>
      <w:tr w:rsidR="00C03F8A" w:rsidRPr="00AD6FA9" w14:paraId="73BD8F42"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4F46DDB9"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6CB4EB8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partes, piezas (autopartes) y accesorios (lujos) para vehículos automotores</w:t>
            </w:r>
          </w:p>
        </w:tc>
      </w:tr>
      <w:tr w:rsidR="00C03F8A" w:rsidRPr="00AD6FA9" w14:paraId="165C37A4"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4A2DCDBD"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5A3AA1C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locomotoras y de material rodante para ferrocarriles</w:t>
            </w:r>
          </w:p>
        </w:tc>
      </w:tr>
      <w:tr w:rsidR="00C03F8A" w:rsidRPr="00AD6FA9" w14:paraId="0761DBE7"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6ACF4FD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2E36CCF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aeronaves, naves espaciales y de maquinaria conexa</w:t>
            </w:r>
          </w:p>
        </w:tc>
      </w:tr>
      <w:tr w:rsidR="00C03F8A" w:rsidRPr="00AD6FA9" w14:paraId="775B1B27"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503DDAE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0047DCD"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joyas, bisutería y artículos conexos</w:t>
            </w:r>
          </w:p>
        </w:tc>
      </w:tr>
      <w:tr w:rsidR="00C03F8A" w:rsidRPr="00AD6FA9" w14:paraId="1BEEAA49"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7D2DA6C4"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5B63BA4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instrumentos musicales</w:t>
            </w:r>
          </w:p>
        </w:tc>
      </w:tr>
      <w:tr w:rsidR="00C03F8A" w:rsidRPr="00AD6FA9" w14:paraId="6FD6BC46"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2E078099"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0DD2B6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artículos y equipo para la práctica del deporte</w:t>
            </w:r>
          </w:p>
        </w:tc>
      </w:tr>
      <w:tr w:rsidR="00C03F8A" w:rsidRPr="00AD6FA9" w14:paraId="61404DBC"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1C01A99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06D2D4F4"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juegos, juguetes y rompecabezas</w:t>
            </w:r>
          </w:p>
        </w:tc>
      </w:tr>
      <w:tr w:rsidR="00C03F8A" w:rsidRPr="00AD6FA9" w14:paraId="44DB9365"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7AF30ED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598E583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instrumentos, aparatos y materiales médicos y odontológicos (incluido mobiliario)</w:t>
            </w:r>
          </w:p>
        </w:tc>
      </w:tr>
      <w:tr w:rsidR="00C03F8A" w:rsidRPr="00AD6FA9" w14:paraId="545CBEC2"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36B259D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32E5AC2"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Otras industrias manufactureras n.c.p.</w:t>
            </w:r>
          </w:p>
        </w:tc>
      </w:tr>
      <w:tr w:rsidR="00C03F8A" w:rsidRPr="00AD6FA9" w14:paraId="348242FB"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050F031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2BF6C22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Generación de energía eléctrica</w:t>
            </w:r>
          </w:p>
        </w:tc>
      </w:tr>
      <w:tr w:rsidR="00C03F8A" w:rsidRPr="00AD6FA9" w14:paraId="23AE510A"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04506C9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1C632C7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Tratamiento y disposición de desechos no peligrosos</w:t>
            </w:r>
          </w:p>
        </w:tc>
      </w:tr>
      <w:tr w:rsidR="00C03F8A" w:rsidRPr="00AD6FA9" w14:paraId="17579415"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7167A4C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30285BD4"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Edición de programas de informática (software)</w:t>
            </w:r>
          </w:p>
        </w:tc>
      </w:tr>
      <w:tr w:rsidR="00C03F8A" w:rsidRPr="00AD6FA9" w14:paraId="6BABF320" w14:textId="77777777" w:rsidTr="00C03F8A">
        <w:trPr>
          <w:trHeight w:val="900"/>
        </w:trPr>
        <w:tc>
          <w:tcPr>
            <w:tcW w:w="1276" w:type="dxa"/>
            <w:tcBorders>
              <w:top w:val="nil"/>
              <w:left w:val="single" w:sz="4" w:space="0" w:color="999999"/>
              <w:bottom w:val="single" w:sz="4" w:space="0" w:color="999999"/>
              <w:right w:val="single" w:sz="4" w:space="0" w:color="999999"/>
            </w:tcBorders>
            <w:vAlign w:val="bottom"/>
            <w:hideMark/>
          </w:tcPr>
          <w:p w14:paraId="15D8A8B9"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33CD727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producción de películas cinematográficas, videos, programas, anuncios y comerciales de televisión</w:t>
            </w:r>
          </w:p>
        </w:tc>
      </w:tr>
      <w:tr w:rsidR="00C03F8A" w:rsidRPr="00AD6FA9" w14:paraId="238C9D5F" w14:textId="77777777" w:rsidTr="00C03F8A">
        <w:trPr>
          <w:trHeight w:val="900"/>
        </w:trPr>
        <w:tc>
          <w:tcPr>
            <w:tcW w:w="1276" w:type="dxa"/>
            <w:tcBorders>
              <w:top w:val="nil"/>
              <w:left w:val="single" w:sz="4" w:space="0" w:color="999999"/>
              <w:bottom w:val="single" w:sz="4" w:space="0" w:color="999999"/>
              <w:right w:val="single" w:sz="4" w:space="0" w:color="999999"/>
            </w:tcBorders>
            <w:vAlign w:val="bottom"/>
            <w:hideMark/>
          </w:tcPr>
          <w:p w14:paraId="3E9AF48F"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59A4D502"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postproducción de películas cinematográficas, videos, programas, anuncios y comerciales de televisión</w:t>
            </w:r>
          </w:p>
        </w:tc>
      </w:tr>
      <w:tr w:rsidR="00C03F8A" w:rsidRPr="00AD6FA9" w14:paraId="1A175471" w14:textId="77777777" w:rsidTr="00C03F8A">
        <w:trPr>
          <w:trHeight w:val="900"/>
        </w:trPr>
        <w:tc>
          <w:tcPr>
            <w:tcW w:w="1276" w:type="dxa"/>
            <w:tcBorders>
              <w:top w:val="nil"/>
              <w:left w:val="single" w:sz="4" w:space="0" w:color="999999"/>
              <w:bottom w:val="single" w:sz="4" w:space="0" w:color="999999"/>
              <w:right w:val="single" w:sz="4" w:space="0" w:color="999999"/>
            </w:tcBorders>
            <w:vAlign w:val="bottom"/>
            <w:hideMark/>
          </w:tcPr>
          <w:p w14:paraId="647E11B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537A68E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distribución de películas cinematográficas, videos, programas, anuncios y comerciales de televisión</w:t>
            </w:r>
          </w:p>
        </w:tc>
      </w:tr>
      <w:tr w:rsidR="00C03F8A" w:rsidRPr="00AD6FA9" w14:paraId="359D825B"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0C0F237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3BD0000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grabación de sonido y edición de música</w:t>
            </w:r>
          </w:p>
        </w:tc>
      </w:tr>
      <w:tr w:rsidR="00C03F8A" w:rsidRPr="00AD6FA9" w14:paraId="060F0CFA"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769E9BE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3DD095C9"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programación y transmisión en el servicio de radiodifusión sonora</w:t>
            </w:r>
          </w:p>
        </w:tc>
      </w:tr>
      <w:tr w:rsidR="00C03F8A" w:rsidRPr="00AD6FA9" w14:paraId="29BABA06"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0A7174D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3D9C216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programación y transmisión de televisión</w:t>
            </w:r>
          </w:p>
        </w:tc>
      </w:tr>
      <w:tr w:rsidR="00C03F8A" w:rsidRPr="00AD6FA9" w14:paraId="15AA3451"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7B7F3BD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5B2781C4"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telecomunicación satelital</w:t>
            </w:r>
          </w:p>
        </w:tc>
      </w:tr>
      <w:tr w:rsidR="00C03F8A" w:rsidRPr="00AD6FA9" w14:paraId="0737D3BD"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3DA5C16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1AFA165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Otras actividades de telecomunicaciones</w:t>
            </w:r>
          </w:p>
        </w:tc>
      </w:tr>
      <w:tr w:rsidR="00C03F8A" w:rsidRPr="00AD6FA9" w14:paraId="6FCE5DB8"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03C29BC2"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5BDE0764"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Otras actividades de tecnologías de información y actividades de servicios informáticos</w:t>
            </w:r>
          </w:p>
        </w:tc>
      </w:tr>
      <w:tr w:rsidR="00C03F8A" w:rsidRPr="00AD6FA9" w14:paraId="43D9501D"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5AEE463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02098FA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Procesamiento de datos, alojamiento (hosting) y actividades relacionadas</w:t>
            </w:r>
          </w:p>
        </w:tc>
      </w:tr>
      <w:tr w:rsidR="00C03F8A" w:rsidRPr="00AD6FA9" w14:paraId="6AFC66A3"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02E33CD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62A18F1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Portales web</w:t>
            </w:r>
          </w:p>
        </w:tc>
      </w:tr>
      <w:tr w:rsidR="00C03F8A" w:rsidRPr="00AD6FA9" w14:paraId="2F82D398"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6FFA6BE8"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750A844F"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agencias de noticias</w:t>
            </w:r>
          </w:p>
        </w:tc>
      </w:tr>
      <w:tr w:rsidR="00C03F8A" w:rsidRPr="00AD6FA9" w14:paraId="6F7F6B85"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48FC42A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1096427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Otras actividades de servicios de información n.c.p.</w:t>
            </w:r>
          </w:p>
        </w:tc>
      </w:tr>
      <w:tr w:rsidR="00C03F8A" w:rsidRPr="00AD6FA9" w14:paraId="2044DDA1"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064CCD4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4B6C996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ingeniería y otras actividades conexas de consultoría técnica</w:t>
            </w:r>
          </w:p>
        </w:tc>
      </w:tr>
      <w:tr w:rsidR="00C03F8A" w:rsidRPr="00AD6FA9" w14:paraId="35971C6A"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0CF73698"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02F6152D"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Investigaciones y desarrollo experimental en el campo de las ciencias naturales y la ingeniería</w:t>
            </w:r>
          </w:p>
        </w:tc>
      </w:tr>
      <w:tr w:rsidR="00C03F8A" w:rsidRPr="00AD6FA9" w14:paraId="7A5903F8"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0129E9C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3FFA248D"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Alquiler y arrendamiento de otros tipos de maquinaria, equipo y bienes tangibles n.c.p.</w:t>
            </w:r>
          </w:p>
        </w:tc>
      </w:tr>
      <w:tr w:rsidR="00C03F8A" w:rsidRPr="00AD6FA9" w14:paraId="77D8D20B"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43FA491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73D2C4E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centros de llamadas (call center)</w:t>
            </w:r>
          </w:p>
        </w:tc>
      </w:tr>
      <w:tr w:rsidR="00C03F8A" w:rsidRPr="00AD6FA9" w14:paraId="0E61F1A9"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53FEE13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412C02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equipo de irradiación y equipo electrónico de uso médico y terapéutico</w:t>
            </w:r>
          </w:p>
        </w:tc>
      </w:tr>
      <w:tr w:rsidR="00C03F8A" w:rsidRPr="00AD6FA9" w14:paraId="61B92E14"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5E80861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03A4BB7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telecomunicaciones alámbricas</w:t>
            </w:r>
          </w:p>
        </w:tc>
      </w:tr>
      <w:tr w:rsidR="00C03F8A" w:rsidRPr="00AD6FA9" w14:paraId="5E0E87AB"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1829B1A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1290F4DD"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telecomunicaciones inalámbricas</w:t>
            </w:r>
          </w:p>
        </w:tc>
      </w:tr>
      <w:tr w:rsidR="00C03F8A" w:rsidRPr="00AD6FA9" w14:paraId="406DC0DF"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6E778C9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7B59D5D8"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consultoría informática y actividades de administración de instalaciones informáticas</w:t>
            </w:r>
          </w:p>
        </w:tc>
      </w:tr>
      <w:tr w:rsidR="00C03F8A" w:rsidRPr="00AD6FA9" w14:paraId="03DFC719"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4D8CF929"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343F850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Investigaciones y desarrollo experimental en el campo de las ciencias sociales y las humanidades</w:t>
            </w:r>
          </w:p>
        </w:tc>
      </w:tr>
      <w:tr w:rsidR="00C03F8A" w:rsidRPr="00AD6FA9" w14:paraId="4054C56C"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3AE5C43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1BA5BD1D"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Otras actividades profesionales, científicas y técnicas n.c.p.</w:t>
            </w:r>
          </w:p>
        </w:tc>
      </w:tr>
      <w:tr w:rsidR="00C03F8A" w:rsidRPr="00AD6FA9" w14:paraId="6D00B910"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0F26897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54737949"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Educación media técnica y de formación laboral</w:t>
            </w:r>
          </w:p>
        </w:tc>
      </w:tr>
      <w:tr w:rsidR="00C03F8A" w:rsidRPr="00AD6FA9" w14:paraId="0080471C"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4FC888F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5B3AF97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Educación técnica profesional</w:t>
            </w:r>
          </w:p>
        </w:tc>
      </w:tr>
      <w:tr w:rsidR="00C03F8A" w:rsidRPr="00AD6FA9" w14:paraId="519F2575"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5434B598"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05275972"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Educación tecnológica</w:t>
            </w:r>
          </w:p>
        </w:tc>
      </w:tr>
      <w:tr w:rsidR="00C03F8A" w:rsidRPr="00AD6FA9" w14:paraId="5DAA9588"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616CD87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27B81FD9"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Educación de instituciones universitarias o de escuelas tecnológicas</w:t>
            </w:r>
          </w:p>
        </w:tc>
      </w:tr>
      <w:tr w:rsidR="00C03F8A" w:rsidRPr="00AD6FA9" w14:paraId="334A0330"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74376A1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0CEE76A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Educación de universidades</w:t>
            </w:r>
          </w:p>
        </w:tc>
      </w:tr>
      <w:tr w:rsidR="00C03F8A" w:rsidRPr="00AD6FA9" w14:paraId="235F493A"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3969163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0F86044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Formación académica no formal</w:t>
            </w:r>
          </w:p>
        </w:tc>
      </w:tr>
      <w:tr w:rsidR="00C03F8A" w:rsidRPr="00AD6FA9" w14:paraId="03CEC0CD"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1988EE58"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352C694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apoyo a la educación</w:t>
            </w:r>
          </w:p>
        </w:tc>
      </w:tr>
      <w:tr w:rsidR="00C03F8A" w:rsidRPr="00AD6FA9" w14:paraId="6F57B5A0"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2DC7385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4EC8259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la práctica médica, sin internación</w:t>
            </w:r>
          </w:p>
        </w:tc>
      </w:tr>
      <w:tr w:rsidR="00C03F8A" w:rsidRPr="00AD6FA9" w14:paraId="3F1C1867"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12DFA0C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2828C50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la práctica odontológica</w:t>
            </w:r>
          </w:p>
        </w:tc>
      </w:tr>
      <w:tr w:rsidR="00C03F8A" w:rsidRPr="00AD6FA9" w14:paraId="345E6443"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33E1065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5ABD89D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apoyo diagnóstico</w:t>
            </w:r>
          </w:p>
        </w:tc>
      </w:tr>
      <w:tr w:rsidR="00C03F8A" w:rsidRPr="00AD6FA9" w14:paraId="799C5CBE"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24391FA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3E8118A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apoyo terapéutico</w:t>
            </w:r>
          </w:p>
        </w:tc>
      </w:tr>
      <w:tr w:rsidR="00C03F8A" w:rsidRPr="00AD6FA9" w14:paraId="4E3E2921"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7E9ED23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2DF294A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Otras actividades de atención de la salud humana</w:t>
            </w:r>
          </w:p>
        </w:tc>
      </w:tr>
    </w:tbl>
    <w:p w14:paraId="286B4A64" w14:textId="77777777" w:rsidR="00CC7888" w:rsidRPr="00C03F8A" w:rsidRDefault="00CC7888" w:rsidP="00747568">
      <w:pPr>
        <w:spacing w:line="276" w:lineRule="auto"/>
        <w:rPr>
          <w:rFonts w:ascii="Times New Roman" w:hAnsi="Times New Roman"/>
        </w:rPr>
      </w:pPr>
    </w:p>
    <w:p w14:paraId="3711A3CA" w14:textId="77777777" w:rsidR="00CC7888" w:rsidRPr="00CC7888" w:rsidRDefault="00CC7888" w:rsidP="00747568">
      <w:pPr>
        <w:pStyle w:val="Prrafodelista"/>
        <w:numPr>
          <w:ilvl w:val="0"/>
          <w:numId w:val="22"/>
        </w:numPr>
        <w:spacing w:after="160" w:line="276" w:lineRule="auto"/>
        <w:contextualSpacing/>
        <w:jc w:val="both"/>
        <w:rPr>
          <w:rFonts w:ascii="Times New Roman" w:hAnsi="Times New Roman"/>
        </w:rPr>
      </w:pPr>
      <w:r w:rsidRPr="00CC7888">
        <w:rPr>
          <w:rFonts w:ascii="Times New Roman" w:hAnsi="Times New Roman"/>
        </w:rPr>
        <w:t>Presentar cada proyecto de inversión a más tardar el 30 de junio 2030, para el desarrollo de una o más de las actividades señaladas en el numeral 1º de este artículo, en los términos que para el efecto reglamente la Administración Distrital.</w:t>
      </w:r>
    </w:p>
    <w:p w14:paraId="3AC53E78" w14:textId="77777777" w:rsidR="00CC7888" w:rsidRPr="00CC7888" w:rsidRDefault="00CC7888" w:rsidP="00747568">
      <w:pPr>
        <w:pStyle w:val="Prrafodelista"/>
        <w:spacing w:line="276" w:lineRule="auto"/>
        <w:ind w:left="1080"/>
        <w:jc w:val="both"/>
        <w:rPr>
          <w:rFonts w:ascii="Times New Roman" w:hAnsi="Times New Roman"/>
        </w:rPr>
      </w:pPr>
    </w:p>
    <w:p w14:paraId="3BFA6360" w14:textId="77777777" w:rsidR="00CC7888" w:rsidRPr="00CC7888" w:rsidRDefault="00CC7888" w:rsidP="00747568">
      <w:pPr>
        <w:pStyle w:val="Prrafodelista"/>
        <w:numPr>
          <w:ilvl w:val="0"/>
          <w:numId w:val="22"/>
        </w:numPr>
        <w:spacing w:after="160" w:line="276" w:lineRule="auto"/>
        <w:contextualSpacing/>
        <w:jc w:val="both"/>
        <w:rPr>
          <w:rFonts w:ascii="Times New Roman" w:hAnsi="Times New Roman"/>
        </w:rPr>
      </w:pPr>
      <w:r w:rsidRPr="00CC7888">
        <w:rPr>
          <w:rFonts w:ascii="Times New Roman" w:hAnsi="Times New Roman"/>
        </w:rPr>
        <w:t>Que los proyectos respectivos sean aprobados por la instancia definida por la Administración Distrital a más tardar el 31 de diciembre de 2030.</w:t>
      </w:r>
    </w:p>
    <w:p w14:paraId="0FC3354A" w14:textId="77777777" w:rsidR="00CC7888" w:rsidRPr="00CC7888" w:rsidRDefault="00CC7888" w:rsidP="00747568">
      <w:pPr>
        <w:pStyle w:val="Prrafodelista"/>
        <w:spacing w:line="276" w:lineRule="auto"/>
        <w:jc w:val="both"/>
        <w:rPr>
          <w:rFonts w:ascii="Times New Roman" w:hAnsi="Times New Roman"/>
        </w:rPr>
      </w:pPr>
    </w:p>
    <w:p w14:paraId="4EE02270" w14:textId="77777777" w:rsidR="00CC7888" w:rsidRPr="00CC7888" w:rsidRDefault="00CC7888" w:rsidP="00747568">
      <w:pPr>
        <w:pStyle w:val="Prrafodelista"/>
        <w:numPr>
          <w:ilvl w:val="0"/>
          <w:numId w:val="22"/>
        </w:numPr>
        <w:spacing w:after="160" w:line="276" w:lineRule="auto"/>
        <w:contextualSpacing/>
        <w:jc w:val="both"/>
        <w:rPr>
          <w:rFonts w:ascii="Times New Roman" w:hAnsi="Times New Roman"/>
        </w:rPr>
      </w:pPr>
      <w:r w:rsidRPr="00CC7888">
        <w:rPr>
          <w:rFonts w:ascii="Times New Roman" w:hAnsi="Times New Roman"/>
        </w:rPr>
        <w:t>Ejecutar la inversión en los plazos establecidos en el reglamento, sin que exceda el término de cinco años siguientes a la fecha de la comunicación de la decisión que aprueba el proyecto.</w:t>
      </w:r>
    </w:p>
    <w:p w14:paraId="0795F244" w14:textId="77777777" w:rsidR="00CC7888" w:rsidRPr="00CC7888" w:rsidRDefault="00CC7888" w:rsidP="00747568">
      <w:pPr>
        <w:pStyle w:val="Prrafodelista"/>
        <w:spacing w:line="276" w:lineRule="auto"/>
        <w:jc w:val="both"/>
        <w:rPr>
          <w:rFonts w:ascii="Times New Roman" w:hAnsi="Times New Roman"/>
        </w:rPr>
      </w:pPr>
    </w:p>
    <w:p w14:paraId="1E7BCA6F" w14:textId="77777777" w:rsidR="00CC7888" w:rsidRPr="00CC7888" w:rsidRDefault="00CC7888" w:rsidP="00747568">
      <w:pPr>
        <w:pStyle w:val="Prrafodelista"/>
        <w:numPr>
          <w:ilvl w:val="0"/>
          <w:numId w:val="21"/>
        </w:numPr>
        <w:spacing w:after="160" w:line="276" w:lineRule="auto"/>
        <w:contextualSpacing/>
        <w:jc w:val="both"/>
        <w:rPr>
          <w:rFonts w:ascii="Times New Roman" w:hAnsi="Times New Roman"/>
        </w:rPr>
      </w:pPr>
      <w:r w:rsidRPr="00CC7888">
        <w:rPr>
          <w:rFonts w:ascii="Times New Roman" w:hAnsi="Times New Roman"/>
          <w:b/>
          <w:bCs/>
        </w:rPr>
        <w:t>Impuesto de Industria y Comercio por grandes inversiones en las actuaciones estratégicas Distritos Aeroportuarios de Fontibón y Engativá.</w:t>
      </w:r>
    </w:p>
    <w:p w14:paraId="0E11D2DA" w14:textId="77777777" w:rsidR="00CC7888" w:rsidRPr="00CC7888" w:rsidRDefault="00CC7888" w:rsidP="00747568">
      <w:pPr>
        <w:pStyle w:val="Prrafodelista"/>
        <w:spacing w:line="276" w:lineRule="auto"/>
        <w:ind w:left="1080"/>
        <w:jc w:val="both"/>
        <w:rPr>
          <w:rFonts w:ascii="Times New Roman" w:hAnsi="Times New Roman"/>
        </w:rPr>
      </w:pPr>
    </w:p>
    <w:p w14:paraId="5CD2B675" w14:textId="77777777" w:rsidR="00CC7888" w:rsidRPr="00CC7888" w:rsidRDefault="00CC7888" w:rsidP="00747568">
      <w:pPr>
        <w:pStyle w:val="Prrafodelista"/>
        <w:numPr>
          <w:ilvl w:val="0"/>
          <w:numId w:val="23"/>
        </w:numPr>
        <w:spacing w:after="160" w:line="276" w:lineRule="auto"/>
        <w:contextualSpacing/>
        <w:jc w:val="both"/>
        <w:rPr>
          <w:rFonts w:ascii="Times New Roman" w:hAnsi="Times New Roman"/>
        </w:rPr>
      </w:pPr>
      <w:r w:rsidRPr="00CC7888">
        <w:rPr>
          <w:rFonts w:ascii="Times New Roman" w:hAnsi="Times New Roman"/>
        </w:rPr>
        <w:t xml:space="preserve">Con posterioridad a la publicación del presente acuerdo, contribuir en al menos 51% de la financiación de </w:t>
      </w:r>
      <w:r w:rsidRPr="00CC7888">
        <w:rPr>
          <w:rFonts w:ascii="Times New Roman" w:hAnsi="Times New Roman"/>
          <w:b/>
          <w:bCs/>
        </w:rPr>
        <w:t>dos o más</w:t>
      </w:r>
      <w:r w:rsidRPr="00CC7888">
        <w:rPr>
          <w:rFonts w:ascii="Times New Roman" w:hAnsi="Times New Roman"/>
        </w:rPr>
        <w:t xml:space="preserve"> proyectos de inversión en las zonas de tratamiento urbanístico de desarrollo o de las áreas de actividad de grandes servicios metropolitanos,  incluidas en las actuaciones estratégicas “Distrito Aeroportuario de Fontibón y Engativá”, de acuerdo con lo establecido en el Decreto Distrital 555 del 2021 y en los actos administrativos que las contienen y delimitan, en cualquiera de las siguientes actividades:</w:t>
      </w:r>
    </w:p>
    <w:p w14:paraId="1AAE885D" w14:textId="77777777" w:rsidR="00CC7888" w:rsidRPr="00CC7888" w:rsidRDefault="00CC7888" w:rsidP="00747568">
      <w:pPr>
        <w:pStyle w:val="Prrafodelista"/>
        <w:spacing w:line="276" w:lineRule="auto"/>
        <w:ind w:left="1440"/>
        <w:rPr>
          <w:rFonts w:ascii="Times New Roman" w:hAnsi="Times New Roman"/>
        </w:rPr>
      </w:pPr>
    </w:p>
    <w:tbl>
      <w:tblPr>
        <w:tblW w:w="8931" w:type="dxa"/>
        <w:tblInd w:w="-5" w:type="dxa"/>
        <w:tblCellMar>
          <w:left w:w="70" w:type="dxa"/>
          <w:right w:w="70" w:type="dxa"/>
        </w:tblCellMar>
        <w:tblLook w:val="04A0" w:firstRow="1" w:lastRow="0" w:firstColumn="1" w:lastColumn="0" w:noHBand="0" w:noVBand="1"/>
      </w:tblPr>
      <w:tblGrid>
        <w:gridCol w:w="1276"/>
        <w:gridCol w:w="7655"/>
      </w:tblGrid>
      <w:tr w:rsidR="00CC7888" w:rsidRPr="00CC7888" w14:paraId="79480303" w14:textId="77777777" w:rsidTr="00C03F8A">
        <w:trPr>
          <w:trHeight w:val="300"/>
        </w:trPr>
        <w:tc>
          <w:tcPr>
            <w:tcW w:w="1276" w:type="dxa"/>
            <w:tcBorders>
              <w:top w:val="single" w:sz="4" w:space="0" w:color="999999"/>
              <w:left w:val="single" w:sz="4" w:space="0" w:color="999999"/>
              <w:bottom w:val="single" w:sz="4" w:space="0" w:color="999999"/>
              <w:right w:val="single" w:sz="4" w:space="0" w:color="999999"/>
            </w:tcBorders>
            <w:noWrap/>
            <w:vAlign w:val="bottom"/>
            <w:hideMark/>
          </w:tcPr>
          <w:p w14:paraId="34B213CE" w14:textId="77777777" w:rsidR="00CC7888" w:rsidRPr="00CC7888" w:rsidRDefault="00CC7888" w:rsidP="00747568">
            <w:pPr>
              <w:spacing w:line="276" w:lineRule="auto"/>
              <w:jc w:val="center"/>
              <w:rPr>
                <w:rFonts w:ascii="Times New Roman" w:hAnsi="Times New Roman"/>
                <w:b/>
                <w:bCs/>
                <w:sz w:val="22"/>
                <w:lang w:eastAsia="es-CO"/>
              </w:rPr>
            </w:pPr>
            <w:r w:rsidRPr="00CC7888">
              <w:rPr>
                <w:rFonts w:ascii="Times New Roman" w:hAnsi="Times New Roman"/>
                <w:b/>
                <w:bCs/>
                <w:sz w:val="22"/>
                <w:lang w:eastAsia="es-CO"/>
              </w:rPr>
              <w:t>Sector de actividad</w:t>
            </w:r>
          </w:p>
        </w:tc>
        <w:tc>
          <w:tcPr>
            <w:tcW w:w="7655" w:type="dxa"/>
            <w:tcBorders>
              <w:top w:val="single" w:sz="4" w:space="0" w:color="999999"/>
              <w:left w:val="nil"/>
              <w:bottom w:val="single" w:sz="4" w:space="0" w:color="999999"/>
              <w:right w:val="single" w:sz="4" w:space="0" w:color="999999"/>
            </w:tcBorders>
            <w:noWrap/>
            <w:vAlign w:val="bottom"/>
            <w:hideMark/>
          </w:tcPr>
          <w:p w14:paraId="2EAE8C45" w14:textId="77777777" w:rsidR="00CC7888" w:rsidRPr="00CC7888" w:rsidRDefault="00CC7888" w:rsidP="00747568">
            <w:pPr>
              <w:spacing w:line="276" w:lineRule="auto"/>
              <w:jc w:val="center"/>
              <w:rPr>
                <w:rFonts w:ascii="Times New Roman" w:hAnsi="Times New Roman"/>
                <w:b/>
                <w:bCs/>
                <w:sz w:val="22"/>
                <w:lang w:eastAsia="es-CO"/>
              </w:rPr>
            </w:pPr>
            <w:r w:rsidRPr="00CC7888">
              <w:rPr>
                <w:rFonts w:ascii="Times New Roman" w:hAnsi="Times New Roman"/>
                <w:b/>
                <w:bCs/>
                <w:sz w:val="22"/>
                <w:lang w:eastAsia="es-CO"/>
              </w:rPr>
              <w:t>Descripción</w:t>
            </w:r>
          </w:p>
        </w:tc>
      </w:tr>
      <w:tr w:rsidR="00CC7888" w:rsidRPr="00CC7888" w14:paraId="4E8F211B"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5AA8830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0DB75D9E"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vehículos automotores y sus motores</w:t>
            </w:r>
          </w:p>
        </w:tc>
      </w:tr>
      <w:tr w:rsidR="00CC7888" w:rsidRPr="00CC7888" w14:paraId="396F6541" w14:textId="77777777" w:rsidTr="00C03F8A">
        <w:trPr>
          <w:trHeight w:val="900"/>
        </w:trPr>
        <w:tc>
          <w:tcPr>
            <w:tcW w:w="1276" w:type="dxa"/>
            <w:tcBorders>
              <w:top w:val="nil"/>
              <w:left w:val="single" w:sz="4" w:space="0" w:color="999999"/>
              <w:bottom w:val="single" w:sz="4" w:space="0" w:color="999999"/>
              <w:right w:val="single" w:sz="4" w:space="0" w:color="999999"/>
            </w:tcBorders>
            <w:noWrap/>
            <w:vAlign w:val="bottom"/>
            <w:hideMark/>
          </w:tcPr>
          <w:p w14:paraId="63F5F72D"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6E18688A"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carrocerías para vehículos automotores; fabricación de remolques y semirremolques</w:t>
            </w:r>
          </w:p>
        </w:tc>
      </w:tr>
      <w:tr w:rsidR="00CC7888" w:rsidRPr="00CC7888" w14:paraId="18FEB6F2"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018C307B"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7A2C853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partes, piezas (autopartes) y accesorios (lujos) para vehículos automotores</w:t>
            </w:r>
          </w:p>
        </w:tc>
      </w:tr>
      <w:tr w:rsidR="00CC7888" w:rsidRPr="00CC7888" w14:paraId="4916B389"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7EBD1097"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36327747"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locomotoras y de material rodante para ferrocarriles</w:t>
            </w:r>
          </w:p>
        </w:tc>
      </w:tr>
      <w:tr w:rsidR="00CC7888" w:rsidRPr="00CC7888" w14:paraId="691E18F9"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06F27952"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1F24FD8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aeronaves, naves espaciales y de maquinaria conexa</w:t>
            </w:r>
          </w:p>
        </w:tc>
      </w:tr>
      <w:tr w:rsidR="00CC7888" w:rsidRPr="00CC7888" w14:paraId="17B5A591"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42B103DD"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1BEE1559"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vehículos militares de combate</w:t>
            </w:r>
          </w:p>
        </w:tc>
      </w:tr>
      <w:tr w:rsidR="00CC7888" w:rsidRPr="00CC7888" w14:paraId="4FEA5B73"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2E9D61ED"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66C2880D"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motocicletas</w:t>
            </w:r>
          </w:p>
        </w:tc>
      </w:tr>
      <w:tr w:rsidR="00CC7888" w:rsidRPr="00CC7888" w14:paraId="21375BA7"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6CC326DD"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15B6CF3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Procesamiento y conservación de carne y productos cárnicos</w:t>
            </w:r>
          </w:p>
        </w:tc>
      </w:tr>
      <w:tr w:rsidR="00CC7888" w:rsidRPr="00CC7888" w14:paraId="5A48BA78"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3C3C8C4"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68FA02C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Elaboración de alimentos preparados para animales</w:t>
            </w:r>
          </w:p>
        </w:tc>
      </w:tr>
      <w:tr w:rsidR="00CC7888" w:rsidRPr="00CC7888" w14:paraId="337B09BA"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326804F"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6715340F"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sustancias y productos químicos básicos</w:t>
            </w:r>
          </w:p>
        </w:tc>
      </w:tr>
      <w:tr w:rsidR="00CC7888" w:rsidRPr="00CC7888" w14:paraId="4CEFFFB4"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230FC17"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7C43B7D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otros productos químicos n.c.p.</w:t>
            </w:r>
          </w:p>
        </w:tc>
      </w:tr>
      <w:tr w:rsidR="00CC7888" w:rsidRPr="00CC7888" w14:paraId="5C1551E4" w14:textId="77777777" w:rsidTr="00C03F8A">
        <w:trPr>
          <w:trHeight w:val="900"/>
        </w:trPr>
        <w:tc>
          <w:tcPr>
            <w:tcW w:w="1276" w:type="dxa"/>
            <w:tcBorders>
              <w:top w:val="nil"/>
              <w:left w:val="single" w:sz="4" w:space="0" w:color="999999"/>
              <w:bottom w:val="single" w:sz="4" w:space="0" w:color="999999"/>
              <w:right w:val="single" w:sz="4" w:space="0" w:color="999999"/>
            </w:tcBorders>
            <w:noWrap/>
            <w:vAlign w:val="bottom"/>
            <w:hideMark/>
          </w:tcPr>
          <w:p w14:paraId="2E318584"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3CDBECB9"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productos farmacéuticos, sustancias químicas medicinales y productos botánicos de uso farmacéutico</w:t>
            </w:r>
          </w:p>
        </w:tc>
      </w:tr>
      <w:tr w:rsidR="00CC7888" w:rsidRPr="00CC7888" w14:paraId="7C910E89"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38F38C1E"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72533123"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componentes y tableros electrónicos</w:t>
            </w:r>
          </w:p>
        </w:tc>
      </w:tr>
      <w:tr w:rsidR="00CC7888" w:rsidRPr="00CC7888" w14:paraId="3D01B9F0"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3E7A3AA"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487EA160"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computadoras y de equipo periférico</w:t>
            </w:r>
          </w:p>
        </w:tc>
      </w:tr>
      <w:tr w:rsidR="00CC7888" w:rsidRPr="00CC7888" w14:paraId="1006C4C9"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64712C5"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6FA7B63A"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equipos de comunicación</w:t>
            </w:r>
          </w:p>
        </w:tc>
      </w:tr>
      <w:tr w:rsidR="00CC7888" w:rsidRPr="00CC7888" w14:paraId="377A859F"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EB81448"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26EEF004"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aparatos electrónicos de consumo</w:t>
            </w:r>
          </w:p>
        </w:tc>
      </w:tr>
      <w:tr w:rsidR="00CC7888" w:rsidRPr="00CC7888" w14:paraId="3BE9F3D8"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7264F921"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26B6550F"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motores, generadores y transformadores eléctricos</w:t>
            </w:r>
          </w:p>
        </w:tc>
      </w:tr>
      <w:tr w:rsidR="00CC7888" w:rsidRPr="00CC7888" w14:paraId="74A3FD9B"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193C85AE"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41E12061"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aparatos de distribución y control de la energía eléctrica</w:t>
            </w:r>
          </w:p>
        </w:tc>
      </w:tr>
      <w:tr w:rsidR="00CC7888" w:rsidRPr="00CC7888" w14:paraId="4884EC0F"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52451161"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3EB889A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pilas, baterías y acumuladores eléctricos</w:t>
            </w:r>
          </w:p>
        </w:tc>
      </w:tr>
      <w:tr w:rsidR="00CC7888" w:rsidRPr="00CC7888" w14:paraId="4971A14B"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2E60DDFB"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5530BA8D"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hilos y cables eléctricos y de fibra óptica</w:t>
            </w:r>
          </w:p>
        </w:tc>
      </w:tr>
      <w:tr w:rsidR="00CC7888" w:rsidRPr="00CC7888" w14:paraId="7A4613A8"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27458D91"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3254CCEB"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dispositivos de cableado</w:t>
            </w:r>
          </w:p>
        </w:tc>
      </w:tr>
      <w:tr w:rsidR="00CC7888" w:rsidRPr="00CC7888" w14:paraId="73BC5874"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D6D0E63"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0BCDDDA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equipos eléctricos de iluminación</w:t>
            </w:r>
          </w:p>
        </w:tc>
      </w:tr>
      <w:tr w:rsidR="00CC7888" w:rsidRPr="00CC7888" w14:paraId="3DC0856C"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B9A5AB8"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0B9712FF"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aparatos de uso doméstico</w:t>
            </w:r>
          </w:p>
        </w:tc>
      </w:tr>
      <w:tr w:rsidR="00CC7888" w:rsidRPr="00CC7888" w14:paraId="6F698701"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DCB505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1BD5AD64"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otros tipos de equipo eléctrico n.c.p.</w:t>
            </w:r>
          </w:p>
        </w:tc>
      </w:tr>
      <w:tr w:rsidR="00CC7888" w:rsidRPr="00CC7888" w14:paraId="10C61280"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E6D1B9D"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7AC91F63"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equipos de potencia hidráulica y neumática</w:t>
            </w:r>
          </w:p>
        </w:tc>
      </w:tr>
      <w:tr w:rsidR="00CC7888" w:rsidRPr="00CC7888" w14:paraId="672B432C"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19C083F5"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0992FE1D"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otras bombas, compresores, grifos y válvulas</w:t>
            </w:r>
          </w:p>
        </w:tc>
      </w:tr>
      <w:tr w:rsidR="00CC7888" w:rsidRPr="00CC7888" w14:paraId="618B2583"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01BCE85F"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472B41E1"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cojinetes, engranajes, trenes de engranajes y piezas de transmisión</w:t>
            </w:r>
          </w:p>
        </w:tc>
      </w:tr>
      <w:tr w:rsidR="00CC7888" w:rsidRPr="00CC7888" w14:paraId="7DA3D863"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22AFC17"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3615CE9B"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hornos, hogares y quemadores industriales</w:t>
            </w:r>
          </w:p>
        </w:tc>
      </w:tr>
      <w:tr w:rsidR="00CC7888" w:rsidRPr="00CC7888" w14:paraId="10FD1E29"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11B14421"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588F6AB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maquinaria y equipo de oficina (excepto computadoras y equipo periférico)</w:t>
            </w:r>
          </w:p>
        </w:tc>
      </w:tr>
      <w:tr w:rsidR="00CC7888" w:rsidRPr="00CC7888" w14:paraId="213CB8B9"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597AC929"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5684018F"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otros tipos de maquinaria y equipo de uso general n.c.p.</w:t>
            </w:r>
          </w:p>
        </w:tc>
      </w:tr>
      <w:tr w:rsidR="00CC7888" w:rsidRPr="00CC7888" w14:paraId="14E3997C"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18748A8"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2DFB1865"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maquinaria para la elaboración de alimentos, bebidas y tabaco</w:t>
            </w:r>
          </w:p>
        </w:tc>
      </w:tr>
      <w:tr w:rsidR="00CC7888" w:rsidRPr="00CC7888" w14:paraId="2924E90F"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7A83E5C3"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31126120"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otros tipos de maquinaria y equipo de uso especial n.c.p.</w:t>
            </w:r>
          </w:p>
        </w:tc>
      </w:tr>
      <w:tr w:rsidR="00CC7888" w:rsidRPr="00CC7888" w14:paraId="532331C4"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080DB58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10F99DB0"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aeronaves, naves espaciales y de maquinaria conexa</w:t>
            </w:r>
          </w:p>
        </w:tc>
      </w:tr>
      <w:tr w:rsidR="00CC7888" w:rsidRPr="00CC7888" w14:paraId="7362E375"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8391B53"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11DA00F1"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Otras industrias manufactureras n.c.p.</w:t>
            </w:r>
          </w:p>
        </w:tc>
      </w:tr>
      <w:tr w:rsidR="00CC7888" w:rsidRPr="00CC7888" w14:paraId="1282DA9F" w14:textId="77777777" w:rsidTr="00C03F8A">
        <w:trPr>
          <w:trHeight w:val="900"/>
        </w:trPr>
        <w:tc>
          <w:tcPr>
            <w:tcW w:w="1276" w:type="dxa"/>
            <w:tcBorders>
              <w:top w:val="nil"/>
              <w:left w:val="single" w:sz="4" w:space="0" w:color="999999"/>
              <w:bottom w:val="single" w:sz="4" w:space="0" w:color="999999"/>
              <w:right w:val="single" w:sz="4" w:space="0" w:color="999999"/>
            </w:tcBorders>
            <w:noWrap/>
            <w:vAlign w:val="bottom"/>
            <w:hideMark/>
          </w:tcPr>
          <w:p w14:paraId="33BCEB67"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719F9778"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de desarrollo de sistemas informáticos (planificación, análisis, diseño, programación, pruebas)</w:t>
            </w:r>
          </w:p>
        </w:tc>
      </w:tr>
      <w:tr w:rsidR="00CC7888" w:rsidRPr="00CC7888" w14:paraId="096F9BB6"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4109BB5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2D64A736"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de consultoría informática y actividades de administración de instalaciones informáticas</w:t>
            </w:r>
          </w:p>
        </w:tc>
      </w:tr>
      <w:tr w:rsidR="00CC7888" w:rsidRPr="00CC7888" w14:paraId="070A8FDD"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19B54779"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5A83A2D4"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Otras actividades de tecnologías de información y actividades de servicios informáticos</w:t>
            </w:r>
          </w:p>
        </w:tc>
      </w:tr>
      <w:tr w:rsidR="00CC7888" w:rsidRPr="00CC7888" w14:paraId="7CD1DE20"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B3DB387"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491D1C4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Procesamiento de datos, alojamiento (hosting) y actividades relacionadas</w:t>
            </w:r>
          </w:p>
        </w:tc>
      </w:tr>
      <w:tr w:rsidR="00CC7888" w:rsidRPr="00CC7888" w14:paraId="45B9F4CB"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A435CC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254AE82E"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Portales web</w:t>
            </w:r>
          </w:p>
        </w:tc>
      </w:tr>
      <w:tr w:rsidR="00CC7888" w:rsidRPr="00CC7888" w14:paraId="7C7E444C"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9F0DF8C"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78BCC27E"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Otras actividades de servicios de información n.c.p.</w:t>
            </w:r>
          </w:p>
        </w:tc>
      </w:tr>
      <w:tr w:rsidR="00CC7888" w:rsidRPr="00CC7888" w14:paraId="5FA4A12B"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30F0070"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419080A9"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Transporte aéreo nacional de pasajeros</w:t>
            </w:r>
          </w:p>
        </w:tc>
      </w:tr>
      <w:tr w:rsidR="00CC7888" w:rsidRPr="00CC7888" w14:paraId="61310D20"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49C7DD4A"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13814497"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Transporte aéreo internacional de pasajeros</w:t>
            </w:r>
          </w:p>
        </w:tc>
      </w:tr>
      <w:tr w:rsidR="00CC7888" w:rsidRPr="00CC7888" w14:paraId="37C7DA3D"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31D16E4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4A80519D"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Transporte aéreo nacional de carga</w:t>
            </w:r>
          </w:p>
        </w:tc>
      </w:tr>
      <w:tr w:rsidR="00CC7888" w:rsidRPr="00CC7888" w14:paraId="55BAF26E"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90C26B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3235D1B6"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Transporte aéreo internacional de carga</w:t>
            </w:r>
          </w:p>
        </w:tc>
      </w:tr>
      <w:tr w:rsidR="00CC7888" w:rsidRPr="00CC7888" w14:paraId="3F5BFCAE"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7FF35274"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34AF2CF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Almacenamiento y depósito</w:t>
            </w:r>
          </w:p>
        </w:tc>
      </w:tr>
      <w:tr w:rsidR="00CC7888" w:rsidRPr="00CC7888" w14:paraId="4D81F5B2"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46F984F7"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6D6EC4D4"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de estaciones, vías y servicios complementarios para el transporte terrestre</w:t>
            </w:r>
          </w:p>
        </w:tc>
      </w:tr>
      <w:tr w:rsidR="00CC7888" w:rsidRPr="00CC7888" w14:paraId="5290202A" w14:textId="77777777" w:rsidTr="00C03F8A">
        <w:trPr>
          <w:trHeight w:val="900"/>
        </w:trPr>
        <w:tc>
          <w:tcPr>
            <w:tcW w:w="1276" w:type="dxa"/>
            <w:tcBorders>
              <w:top w:val="nil"/>
              <w:left w:val="single" w:sz="4" w:space="0" w:color="999999"/>
              <w:bottom w:val="single" w:sz="4" w:space="0" w:color="999999"/>
              <w:right w:val="single" w:sz="4" w:space="0" w:color="999999"/>
            </w:tcBorders>
            <w:noWrap/>
            <w:vAlign w:val="bottom"/>
            <w:hideMark/>
          </w:tcPr>
          <w:p w14:paraId="0DBB9119"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6FBA20FB"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de aeropuertos, servicios de navegación aérea y demás actividades conexas al transporte aéreo</w:t>
            </w:r>
          </w:p>
        </w:tc>
      </w:tr>
      <w:tr w:rsidR="00CC7888" w:rsidRPr="00CC7888" w14:paraId="47910158"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7E2EC325"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6301651D"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Manipulación de carga</w:t>
            </w:r>
          </w:p>
        </w:tc>
      </w:tr>
      <w:tr w:rsidR="00CC7888" w:rsidRPr="00CC7888" w14:paraId="7D01FD94"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20ED77D2"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511A6783"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Otras actividades complementarias al transporte</w:t>
            </w:r>
          </w:p>
        </w:tc>
      </w:tr>
      <w:tr w:rsidR="00CC7888" w:rsidRPr="00CC7888" w14:paraId="53065A46" w14:textId="77777777" w:rsidTr="00C03F8A">
        <w:trPr>
          <w:trHeight w:val="900"/>
        </w:trPr>
        <w:tc>
          <w:tcPr>
            <w:tcW w:w="1276" w:type="dxa"/>
            <w:tcBorders>
              <w:top w:val="nil"/>
              <w:left w:val="single" w:sz="4" w:space="0" w:color="999999"/>
              <w:bottom w:val="single" w:sz="4" w:space="0" w:color="999999"/>
              <w:right w:val="single" w:sz="4" w:space="0" w:color="999999"/>
            </w:tcBorders>
            <w:noWrap/>
            <w:vAlign w:val="bottom"/>
            <w:hideMark/>
          </w:tcPr>
          <w:p w14:paraId="506A13AC"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10817F89"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Mantenimiento y reparación especializado de equipo de transporte, excepto los vehículos automotores, motocicletas y bicicletas</w:t>
            </w:r>
          </w:p>
        </w:tc>
      </w:tr>
      <w:tr w:rsidR="00CC7888" w:rsidRPr="00CC7888" w14:paraId="620EB015"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5C20F6A"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70D6232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Mantenimiento y reparación especializado de productos elaborados en metal</w:t>
            </w:r>
          </w:p>
        </w:tc>
      </w:tr>
      <w:tr w:rsidR="00CC7888" w:rsidRPr="00CC7888" w14:paraId="11BB0E1B"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688602A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78207F28"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Mantenimiento y reparación especializado de maquinaria y equipo</w:t>
            </w:r>
          </w:p>
        </w:tc>
      </w:tr>
      <w:tr w:rsidR="00CC7888" w:rsidRPr="00CC7888" w14:paraId="0D50190B"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5018DCED"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64E05600"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Mantenimiento y reparación especializado de equipo electrónico y óptico</w:t>
            </w:r>
          </w:p>
        </w:tc>
      </w:tr>
      <w:tr w:rsidR="00CC7888" w:rsidRPr="00CC7888" w14:paraId="1A57AE0C"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54DD62B5"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4C209DEF"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Mantenimiento y reparación especializado de equipo eléctrico</w:t>
            </w:r>
          </w:p>
        </w:tc>
      </w:tr>
      <w:tr w:rsidR="00CC7888" w:rsidRPr="00CC7888" w14:paraId="74030EB6"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0BCBC21"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538A198D"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Mantenimiento y reparación de otros tipos de equipos y sus componentes n.c.p.</w:t>
            </w:r>
          </w:p>
        </w:tc>
      </w:tr>
      <w:tr w:rsidR="00CC7888" w:rsidRPr="00CC7888" w14:paraId="409B6843"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45849D0"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3A148768"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Instalación especializada de maquinaria y equipo industrial</w:t>
            </w:r>
          </w:p>
        </w:tc>
      </w:tr>
      <w:tr w:rsidR="00CC7888" w:rsidRPr="00CC7888" w14:paraId="6E071706"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24FBB71F"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67ACDF80"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postales nacionales</w:t>
            </w:r>
          </w:p>
        </w:tc>
      </w:tr>
      <w:tr w:rsidR="00CC7888" w:rsidRPr="00CC7888" w14:paraId="6C680BAB"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210B461B"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488D3647"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de mensajería</w:t>
            </w:r>
          </w:p>
        </w:tc>
      </w:tr>
      <w:tr w:rsidR="00CC7888" w:rsidRPr="00CC7888" w14:paraId="69D67A85"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E94A311"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5740BE6F"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Alojamiento en hoteles</w:t>
            </w:r>
          </w:p>
        </w:tc>
      </w:tr>
      <w:tr w:rsidR="00CC7888" w:rsidRPr="00CC7888" w14:paraId="6D44A1BC"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427241E"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4CA19101"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Alojamiento en apartahoteles</w:t>
            </w:r>
          </w:p>
        </w:tc>
      </w:tr>
      <w:tr w:rsidR="00CC7888" w:rsidRPr="00CC7888" w14:paraId="59182E89"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7CFDA959"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2A56A58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Otros tipos de alojamientos para visitantes</w:t>
            </w:r>
          </w:p>
        </w:tc>
      </w:tr>
      <w:tr w:rsidR="00CC7888" w:rsidRPr="00CC7888" w14:paraId="0ACC8244"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FBE347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0EEF3B8E"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Otros tipos de alojamiento n.c.p.</w:t>
            </w:r>
          </w:p>
        </w:tc>
      </w:tr>
      <w:tr w:rsidR="00CC7888" w:rsidRPr="00CC7888" w14:paraId="1380FF69"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2AE2FB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4F693E1F"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Catering para eventos</w:t>
            </w:r>
          </w:p>
        </w:tc>
      </w:tr>
      <w:tr w:rsidR="00CC7888" w:rsidRPr="00CC7888" w14:paraId="7574D5B2"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56D311F2"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7A645098"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de las agencias de viaje</w:t>
            </w:r>
          </w:p>
        </w:tc>
      </w:tr>
      <w:tr w:rsidR="00CC7888" w:rsidRPr="00CC7888" w14:paraId="3BED7BEB"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E36FEE2"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3EDCE943"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de operadores turísticos</w:t>
            </w:r>
          </w:p>
        </w:tc>
      </w:tr>
      <w:tr w:rsidR="00CC7888" w:rsidRPr="00CC7888" w14:paraId="0623659D"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20B7B247"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423F0158"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Organización de convenciones y eventos comerciales</w:t>
            </w:r>
          </w:p>
        </w:tc>
      </w:tr>
      <w:tr w:rsidR="00CC7888" w:rsidRPr="00CC7888" w14:paraId="5907F266"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6FDE6F1"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25917A27"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Transporte de pasajeros</w:t>
            </w:r>
          </w:p>
        </w:tc>
      </w:tr>
      <w:tr w:rsidR="00CC7888" w:rsidRPr="00CC7888" w14:paraId="350F3FFD"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20EB10CB"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74EFF823"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Transporte mixto</w:t>
            </w:r>
          </w:p>
        </w:tc>
      </w:tr>
      <w:tr w:rsidR="00CC7888" w:rsidRPr="00CC7888" w14:paraId="0021120A"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2516AEB2"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723897B6"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Transporte de carga por carretera</w:t>
            </w:r>
          </w:p>
        </w:tc>
      </w:tr>
      <w:tr w:rsidR="00CC7888" w:rsidRPr="00CC7888" w14:paraId="54E78118"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FBDB2EC"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7B85BE6E"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Transporte por tuberías</w:t>
            </w:r>
          </w:p>
        </w:tc>
      </w:tr>
      <w:tr w:rsidR="00CC7888" w:rsidRPr="00CC7888" w14:paraId="6993BA00"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505060CA"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369E14E1"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combinadas de servicios administrativos de oficina</w:t>
            </w:r>
          </w:p>
        </w:tc>
      </w:tr>
      <w:tr w:rsidR="00CC7888" w:rsidRPr="00CC7888" w14:paraId="2034BCE0"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3539007"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17C94A51"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Formación para el trabajo</w:t>
            </w:r>
          </w:p>
        </w:tc>
      </w:tr>
      <w:tr w:rsidR="00CC7888" w:rsidRPr="00CC7888" w14:paraId="10DAEADD"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223EA0BD"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57A93173"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Otros tipos de educación n.c.p.</w:t>
            </w:r>
          </w:p>
        </w:tc>
      </w:tr>
      <w:tr w:rsidR="00CC7888" w:rsidRPr="00CC7888" w14:paraId="46838EFE"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3970CAD8"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3722A0E7"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de apoyo a la educación</w:t>
            </w:r>
          </w:p>
        </w:tc>
      </w:tr>
      <w:tr w:rsidR="00CC7888" w:rsidRPr="00CC7888" w14:paraId="30541AAB"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40116E48"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77C088FC"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Educación técnica profesional</w:t>
            </w:r>
          </w:p>
        </w:tc>
      </w:tr>
      <w:tr w:rsidR="00CC7888" w:rsidRPr="00CC7888" w14:paraId="178F1203"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258FD3FC"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19C4376D"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Educación tecnológica</w:t>
            </w:r>
          </w:p>
        </w:tc>
      </w:tr>
      <w:tr w:rsidR="00CC7888" w:rsidRPr="00CC7888" w14:paraId="2C426DB0"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66B2C684"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7376B674"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Educación de instituciones universitarias o de escuelas tecnológicas</w:t>
            </w:r>
          </w:p>
        </w:tc>
      </w:tr>
      <w:tr w:rsidR="00CC7888" w:rsidRPr="00CC7888" w14:paraId="37994E9D"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B76C1FF"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65FD0AEF"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Educación de universidades</w:t>
            </w:r>
          </w:p>
        </w:tc>
      </w:tr>
      <w:tr w:rsidR="00CC7888" w:rsidRPr="00CC7888" w14:paraId="2DEEB032"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F69A412"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Comercio</w:t>
            </w:r>
          </w:p>
        </w:tc>
        <w:tc>
          <w:tcPr>
            <w:tcW w:w="7655" w:type="dxa"/>
            <w:tcBorders>
              <w:top w:val="nil"/>
              <w:left w:val="nil"/>
              <w:bottom w:val="single" w:sz="4" w:space="0" w:color="999999"/>
              <w:right w:val="single" w:sz="4" w:space="0" w:color="999999"/>
            </w:tcBorders>
            <w:vAlign w:val="bottom"/>
            <w:hideMark/>
          </w:tcPr>
          <w:p w14:paraId="62C80181"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Comercio al por menor realizado a través de internet</w:t>
            </w:r>
          </w:p>
        </w:tc>
      </w:tr>
    </w:tbl>
    <w:p w14:paraId="38EA2B15" w14:textId="77777777" w:rsidR="00CC7888" w:rsidRPr="00CC7888" w:rsidRDefault="00CC7888" w:rsidP="00747568">
      <w:pPr>
        <w:pStyle w:val="Prrafodelista"/>
        <w:spacing w:line="276" w:lineRule="auto"/>
        <w:ind w:left="1440"/>
        <w:rPr>
          <w:rFonts w:ascii="Times New Roman" w:hAnsi="Times New Roman"/>
        </w:rPr>
      </w:pPr>
    </w:p>
    <w:p w14:paraId="0A8391F5" w14:textId="77777777" w:rsidR="00CC7888" w:rsidRPr="00CC7888" w:rsidRDefault="00CC7888" w:rsidP="00747568">
      <w:pPr>
        <w:pStyle w:val="Prrafodelista"/>
        <w:numPr>
          <w:ilvl w:val="0"/>
          <w:numId w:val="23"/>
        </w:numPr>
        <w:spacing w:after="160" w:line="276" w:lineRule="auto"/>
        <w:contextualSpacing/>
        <w:jc w:val="both"/>
        <w:rPr>
          <w:rFonts w:ascii="Times New Roman" w:hAnsi="Times New Roman"/>
        </w:rPr>
      </w:pPr>
      <w:r w:rsidRPr="00CC7888">
        <w:rPr>
          <w:rFonts w:ascii="Times New Roman" w:hAnsi="Times New Roman"/>
        </w:rPr>
        <w:t>Presentar los proyectos de inversión para el desarrollo de una o más de las actividades señaladas en el literal a) de este numeral, en los términos que para el efecto reglamente la Administración Distrital, a más tardar el 30 de junio 2030.</w:t>
      </w:r>
    </w:p>
    <w:p w14:paraId="748328DC" w14:textId="77777777" w:rsidR="00CC7888" w:rsidRPr="00CC7888" w:rsidRDefault="00CC7888" w:rsidP="00747568">
      <w:pPr>
        <w:pStyle w:val="Prrafodelista"/>
        <w:spacing w:line="276" w:lineRule="auto"/>
        <w:ind w:left="1440"/>
        <w:jc w:val="both"/>
        <w:rPr>
          <w:rFonts w:ascii="Times New Roman" w:hAnsi="Times New Roman"/>
        </w:rPr>
      </w:pPr>
    </w:p>
    <w:p w14:paraId="66C37D5A" w14:textId="77777777" w:rsidR="00CC7888" w:rsidRPr="00CC7888" w:rsidRDefault="00CC7888" w:rsidP="00747568">
      <w:pPr>
        <w:pStyle w:val="Prrafodelista"/>
        <w:numPr>
          <w:ilvl w:val="0"/>
          <w:numId w:val="23"/>
        </w:numPr>
        <w:spacing w:after="160" w:line="276" w:lineRule="auto"/>
        <w:contextualSpacing/>
        <w:jc w:val="both"/>
        <w:rPr>
          <w:rFonts w:ascii="Times New Roman" w:hAnsi="Times New Roman"/>
        </w:rPr>
      </w:pPr>
      <w:r w:rsidRPr="00CC7888">
        <w:rPr>
          <w:rFonts w:ascii="Times New Roman" w:hAnsi="Times New Roman"/>
        </w:rPr>
        <w:t>Que los proyectos respectivos sean aprobados por la “Comisión Intersectorial Bogotá Ciudad Portuaria” establecida en el artículo 301 del Acuerdo Distrital 927 de 2024 en concordancia con el artículo 1º del Decreto Distrital 50 de 2025, a más tardar el 31 de diciembre de 2030.</w:t>
      </w:r>
    </w:p>
    <w:p w14:paraId="74ACC23B" w14:textId="77777777" w:rsidR="00CC7888" w:rsidRPr="00CC7888" w:rsidRDefault="00CC7888" w:rsidP="00747568">
      <w:pPr>
        <w:pStyle w:val="Prrafodelista"/>
        <w:spacing w:line="276" w:lineRule="auto"/>
        <w:jc w:val="both"/>
        <w:rPr>
          <w:rFonts w:ascii="Times New Roman" w:hAnsi="Times New Roman"/>
        </w:rPr>
      </w:pPr>
    </w:p>
    <w:p w14:paraId="22A437CA" w14:textId="77777777" w:rsidR="00CC7888" w:rsidRPr="00CC7888" w:rsidRDefault="00CC7888" w:rsidP="00747568">
      <w:pPr>
        <w:pStyle w:val="Prrafodelista"/>
        <w:numPr>
          <w:ilvl w:val="0"/>
          <w:numId w:val="23"/>
        </w:numPr>
        <w:spacing w:after="160" w:line="276" w:lineRule="auto"/>
        <w:contextualSpacing/>
        <w:jc w:val="both"/>
        <w:rPr>
          <w:rFonts w:ascii="Times New Roman" w:hAnsi="Times New Roman"/>
        </w:rPr>
      </w:pPr>
      <w:r w:rsidRPr="00CC7888">
        <w:rPr>
          <w:rFonts w:ascii="Times New Roman" w:hAnsi="Times New Roman"/>
        </w:rPr>
        <w:t>Que la inversión se ejecute totalmente dentro de los cinco años siguientes a la fecha de la comunicación de la decisión que aprueba el proyecto.</w:t>
      </w:r>
    </w:p>
    <w:p w14:paraId="53DC0851" w14:textId="74C4F03B" w:rsidR="00CC7888" w:rsidRDefault="00747568" w:rsidP="00747568">
      <w:pPr>
        <w:spacing w:line="276" w:lineRule="auto"/>
        <w:jc w:val="both"/>
        <w:rPr>
          <w:rFonts w:ascii="Times New Roman" w:hAnsi="Times New Roman"/>
        </w:rPr>
      </w:pPr>
      <w:r>
        <w:rPr>
          <w:rFonts w:ascii="Times New Roman" w:eastAsia="Calibri" w:hAnsi="Times New Roman"/>
          <w:b/>
          <w:bCs/>
        </w:rPr>
        <w:t xml:space="preserve">Artículo 8. </w:t>
      </w:r>
      <w:r w:rsidR="00CC7888" w:rsidRPr="00CC7888">
        <w:rPr>
          <w:rFonts w:ascii="Times New Roman" w:hAnsi="Times New Roman"/>
        </w:rPr>
        <w:t xml:space="preserve">Cumplido lo </w:t>
      </w:r>
      <w:r>
        <w:rPr>
          <w:rFonts w:ascii="Times New Roman" w:hAnsi="Times New Roman"/>
        </w:rPr>
        <w:t>definido en el Artículo 7 del presente acuerdo</w:t>
      </w:r>
      <w:r w:rsidR="00CC7888" w:rsidRPr="00CC7888">
        <w:rPr>
          <w:rFonts w:ascii="Times New Roman" w:hAnsi="Times New Roman"/>
        </w:rPr>
        <w:t xml:space="preserve">, el contribuyente podrá aplicar en sus declaraciones tributarias del impuesto de industria y comercio la exención señalada en este artículo, a partir del año gravable siguiente a la terminación de la ejecución de la inversión. La fecha de terminación de la ejecución de la inversión deberá ser informada por la correspondiente instancia a la Secretaría Distrital de Hacienda. </w:t>
      </w:r>
    </w:p>
    <w:p w14:paraId="31E7AE5E" w14:textId="77777777" w:rsidR="007A3B80" w:rsidRDefault="007A3B80" w:rsidP="00747568">
      <w:pPr>
        <w:spacing w:line="276" w:lineRule="auto"/>
        <w:jc w:val="both"/>
        <w:rPr>
          <w:rFonts w:ascii="Times New Roman" w:hAnsi="Times New Roman"/>
        </w:rPr>
      </w:pPr>
    </w:p>
    <w:p w14:paraId="2BD1CFA8" w14:textId="61E88FF6" w:rsidR="00CC7888" w:rsidRDefault="00CC7888" w:rsidP="00747568">
      <w:pPr>
        <w:spacing w:line="276" w:lineRule="auto"/>
        <w:jc w:val="both"/>
        <w:rPr>
          <w:rFonts w:ascii="Times New Roman" w:hAnsi="Times New Roman"/>
        </w:rPr>
      </w:pPr>
      <w:r w:rsidRPr="00CC7888">
        <w:rPr>
          <w:rFonts w:ascii="Times New Roman" w:hAnsi="Times New Roman"/>
        </w:rPr>
        <w:t>El porcentaje de la exención en el impuesto de industria y comercio dependerá del monto de la inversión realizada, así:</w:t>
      </w:r>
    </w:p>
    <w:p w14:paraId="1DC2C620" w14:textId="77777777" w:rsidR="00CC7888" w:rsidRPr="00CC7888" w:rsidRDefault="00CC7888" w:rsidP="00747568">
      <w:pPr>
        <w:spacing w:line="276" w:lineRule="auto"/>
        <w:ind w:left="1080"/>
        <w:jc w:val="both"/>
        <w:rPr>
          <w:rFonts w:ascii="Times New Roman" w:hAnsi="Times New Roman"/>
        </w:rPr>
      </w:pPr>
    </w:p>
    <w:tbl>
      <w:tblPr>
        <w:tblW w:w="9214" w:type="dxa"/>
        <w:tblInd w:w="-5" w:type="dxa"/>
        <w:tblCellMar>
          <w:left w:w="70" w:type="dxa"/>
          <w:right w:w="70" w:type="dxa"/>
        </w:tblCellMar>
        <w:tblLook w:val="04A0" w:firstRow="1" w:lastRow="0" w:firstColumn="1" w:lastColumn="0" w:noHBand="0" w:noVBand="1"/>
      </w:tblPr>
      <w:tblGrid>
        <w:gridCol w:w="1843"/>
        <w:gridCol w:w="851"/>
        <w:gridCol w:w="708"/>
        <w:gridCol w:w="709"/>
        <w:gridCol w:w="709"/>
        <w:gridCol w:w="709"/>
        <w:gridCol w:w="708"/>
        <w:gridCol w:w="709"/>
        <w:gridCol w:w="709"/>
        <w:gridCol w:w="709"/>
        <w:gridCol w:w="850"/>
      </w:tblGrid>
      <w:tr w:rsidR="00CC7888" w:rsidRPr="00CC7888" w14:paraId="76AAC0EB" w14:textId="77777777" w:rsidTr="00C03F8A">
        <w:trPr>
          <w:trHeight w:val="407"/>
        </w:trPr>
        <w:tc>
          <w:tcPr>
            <w:tcW w:w="9214" w:type="dxa"/>
            <w:gridSpan w:val="11"/>
            <w:tcBorders>
              <w:top w:val="single" w:sz="4" w:space="0" w:color="999999"/>
              <w:left w:val="single" w:sz="4" w:space="0" w:color="999999"/>
              <w:bottom w:val="single" w:sz="4" w:space="0" w:color="999999"/>
              <w:right w:val="single" w:sz="4" w:space="0" w:color="999999"/>
            </w:tcBorders>
            <w:noWrap/>
            <w:vAlign w:val="bottom"/>
          </w:tcPr>
          <w:p w14:paraId="6B09EBDF"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EXENCIÓN PROGRESIVA ICA</w:t>
            </w:r>
          </w:p>
        </w:tc>
      </w:tr>
      <w:tr w:rsidR="00C03F8A" w:rsidRPr="00CC7888" w14:paraId="2016E0C1" w14:textId="77777777" w:rsidTr="00C03F8A">
        <w:trPr>
          <w:trHeight w:val="555"/>
        </w:trPr>
        <w:tc>
          <w:tcPr>
            <w:tcW w:w="1843" w:type="dxa"/>
            <w:tcBorders>
              <w:top w:val="single" w:sz="4" w:space="0" w:color="999999"/>
              <w:left w:val="single" w:sz="4" w:space="0" w:color="999999"/>
              <w:bottom w:val="single" w:sz="4" w:space="0" w:color="999999"/>
              <w:right w:val="single" w:sz="4" w:space="0" w:color="999999"/>
            </w:tcBorders>
            <w:noWrap/>
            <w:vAlign w:val="bottom"/>
            <w:hideMark/>
          </w:tcPr>
          <w:p w14:paraId="0FB801C4"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Monto de la inversión en UVT</w:t>
            </w:r>
          </w:p>
        </w:tc>
        <w:tc>
          <w:tcPr>
            <w:tcW w:w="851" w:type="dxa"/>
            <w:tcBorders>
              <w:top w:val="single" w:sz="4" w:space="0" w:color="999999"/>
              <w:left w:val="nil"/>
              <w:bottom w:val="single" w:sz="4" w:space="0" w:color="999999"/>
              <w:right w:val="single" w:sz="4" w:space="0" w:color="999999"/>
            </w:tcBorders>
            <w:noWrap/>
            <w:vAlign w:val="bottom"/>
            <w:hideMark/>
          </w:tcPr>
          <w:p w14:paraId="21288290"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1</w:t>
            </w:r>
          </w:p>
        </w:tc>
        <w:tc>
          <w:tcPr>
            <w:tcW w:w="708" w:type="dxa"/>
            <w:tcBorders>
              <w:top w:val="single" w:sz="4" w:space="0" w:color="999999"/>
              <w:left w:val="nil"/>
              <w:bottom w:val="single" w:sz="4" w:space="0" w:color="999999"/>
              <w:right w:val="single" w:sz="4" w:space="0" w:color="999999"/>
            </w:tcBorders>
            <w:noWrap/>
            <w:vAlign w:val="bottom"/>
            <w:hideMark/>
          </w:tcPr>
          <w:p w14:paraId="2A25974B"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2</w:t>
            </w:r>
          </w:p>
        </w:tc>
        <w:tc>
          <w:tcPr>
            <w:tcW w:w="709" w:type="dxa"/>
            <w:tcBorders>
              <w:top w:val="single" w:sz="4" w:space="0" w:color="999999"/>
              <w:left w:val="nil"/>
              <w:bottom w:val="single" w:sz="4" w:space="0" w:color="999999"/>
              <w:right w:val="single" w:sz="4" w:space="0" w:color="999999"/>
            </w:tcBorders>
            <w:noWrap/>
            <w:vAlign w:val="bottom"/>
            <w:hideMark/>
          </w:tcPr>
          <w:p w14:paraId="7F29EEEF"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3</w:t>
            </w:r>
          </w:p>
        </w:tc>
        <w:tc>
          <w:tcPr>
            <w:tcW w:w="709" w:type="dxa"/>
            <w:tcBorders>
              <w:top w:val="single" w:sz="4" w:space="0" w:color="999999"/>
              <w:left w:val="nil"/>
              <w:bottom w:val="single" w:sz="4" w:space="0" w:color="999999"/>
              <w:right w:val="single" w:sz="4" w:space="0" w:color="999999"/>
            </w:tcBorders>
            <w:noWrap/>
            <w:vAlign w:val="bottom"/>
            <w:hideMark/>
          </w:tcPr>
          <w:p w14:paraId="06C04D19"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4</w:t>
            </w:r>
          </w:p>
        </w:tc>
        <w:tc>
          <w:tcPr>
            <w:tcW w:w="709" w:type="dxa"/>
            <w:tcBorders>
              <w:top w:val="single" w:sz="4" w:space="0" w:color="999999"/>
              <w:left w:val="nil"/>
              <w:bottom w:val="single" w:sz="4" w:space="0" w:color="999999"/>
              <w:right w:val="single" w:sz="4" w:space="0" w:color="999999"/>
            </w:tcBorders>
            <w:noWrap/>
            <w:vAlign w:val="bottom"/>
            <w:hideMark/>
          </w:tcPr>
          <w:p w14:paraId="1A5A7EBE"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5</w:t>
            </w:r>
          </w:p>
        </w:tc>
        <w:tc>
          <w:tcPr>
            <w:tcW w:w="708" w:type="dxa"/>
            <w:tcBorders>
              <w:top w:val="single" w:sz="4" w:space="0" w:color="999999"/>
              <w:left w:val="nil"/>
              <w:bottom w:val="single" w:sz="4" w:space="0" w:color="999999"/>
              <w:right w:val="single" w:sz="4" w:space="0" w:color="999999"/>
            </w:tcBorders>
            <w:noWrap/>
            <w:vAlign w:val="bottom"/>
            <w:hideMark/>
          </w:tcPr>
          <w:p w14:paraId="1CBCFD84"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6</w:t>
            </w:r>
          </w:p>
        </w:tc>
        <w:tc>
          <w:tcPr>
            <w:tcW w:w="709" w:type="dxa"/>
            <w:tcBorders>
              <w:top w:val="single" w:sz="4" w:space="0" w:color="999999"/>
              <w:left w:val="nil"/>
              <w:bottom w:val="single" w:sz="4" w:space="0" w:color="999999"/>
              <w:right w:val="single" w:sz="4" w:space="0" w:color="999999"/>
            </w:tcBorders>
            <w:noWrap/>
            <w:vAlign w:val="bottom"/>
            <w:hideMark/>
          </w:tcPr>
          <w:p w14:paraId="1956772A"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7</w:t>
            </w:r>
          </w:p>
        </w:tc>
        <w:tc>
          <w:tcPr>
            <w:tcW w:w="709" w:type="dxa"/>
            <w:tcBorders>
              <w:top w:val="single" w:sz="4" w:space="0" w:color="999999"/>
              <w:left w:val="nil"/>
              <w:bottom w:val="single" w:sz="4" w:space="0" w:color="999999"/>
              <w:right w:val="single" w:sz="4" w:space="0" w:color="999999"/>
            </w:tcBorders>
            <w:noWrap/>
            <w:vAlign w:val="bottom"/>
            <w:hideMark/>
          </w:tcPr>
          <w:p w14:paraId="2526414E"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8</w:t>
            </w:r>
          </w:p>
        </w:tc>
        <w:tc>
          <w:tcPr>
            <w:tcW w:w="709" w:type="dxa"/>
            <w:tcBorders>
              <w:top w:val="single" w:sz="4" w:space="0" w:color="999999"/>
              <w:left w:val="nil"/>
              <w:bottom w:val="single" w:sz="4" w:space="0" w:color="999999"/>
              <w:right w:val="single" w:sz="4" w:space="0" w:color="999999"/>
            </w:tcBorders>
            <w:noWrap/>
            <w:vAlign w:val="bottom"/>
            <w:hideMark/>
          </w:tcPr>
          <w:p w14:paraId="47A405E8"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9</w:t>
            </w:r>
          </w:p>
        </w:tc>
        <w:tc>
          <w:tcPr>
            <w:tcW w:w="850" w:type="dxa"/>
            <w:tcBorders>
              <w:top w:val="single" w:sz="4" w:space="0" w:color="999999"/>
              <w:left w:val="nil"/>
              <w:bottom w:val="single" w:sz="4" w:space="0" w:color="999999"/>
              <w:right w:val="single" w:sz="4" w:space="0" w:color="999999"/>
            </w:tcBorders>
            <w:noWrap/>
            <w:vAlign w:val="bottom"/>
            <w:hideMark/>
          </w:tcPr>
          <w:p w14:paraId="7A837470"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10</w:t>
            </w:r>
          </w:p>
        </w:tc>
      </w:tr>
      <w:tr w:rsidR="00C03F8A" w:rsidRPr="00CC7888" w14:paraId="4D452607" w14:textId="77777777" w:rsidTr="00C03F8A">
        <w:trPr>
          <w:trHeight w:val="300"/>
        </w:trPr>
        <w:tc>
          <w:tcPr>
            <w:tcW w:w="1843" w:type="dxa"/>
            <w:tcBorders>
              <w:top w:val="nil"/>
              <w:left w:val="single" w:sz="4" w:space="0" w:color="999999"/>
              <w:bottom w:val="single" w:sz="4" w:space="0" w:color="999999"/>
              <w:right w:val="single" w:sz="4" w:space="0" w:color="999999"/>
            </w:tcBorders>
            <w:noWrap/>
            <w:vAlign w:val="bottom"/>
            <w:hideMark/>
          </w:tcPr>
          <w:p w14:paraId="28B90D87"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Desde 89.835hasta 449.172</w:t>
            </w:r>
          </w:p>
        </w:tc>
        <w:tc>
          <w:tcPr>
            <w:tcW w:w="851" w:type="dxa"/>
            <w:tcBorders>
              <w:top w:val="nil"/>
              <w:left w:val="nil"/>
              <w:bottom w:val="single" w:sz="4" w:space="0" w:color="999999"/>
              <w:right w:val="single" w:sz="4" w:space="0" w:color="999999"/>
            </w:tcBorders>
            <w:noWrap/>
            <w:vAlign w:val="bottom"/>
            <w:hideMark/>
          </w:tcPr>
          <w:p w14:paraId="5E48BD79"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50%</w:t>
            </w:r>
          </w:p>
        </w:tc>
        <w:tc>
          <w:tcPr>
            <w:tcW w:w="708" w:type="dxa"/>
            <w:tcBorders>
              <w:top w:val="nil"/>
              <w:left w:val="nil"/>
              <w:bottom w:val="single" w:sz="4" w:space="0" w:color="999999"/>
              <w:right w:val="single" w:sz="4" w:space="0" w:color="999999"/>
            </w:tcBorders>
            <w:noWrap/>
            <w:vAlign w:val="bottom"/>
            <w:hideMark/>
          </w:tcPr>
          <w:p w14:paraId="2799A519"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25%</w:t>
            </w:r>
          </w:p>
        </w:tc>
        <w:tc>
          <w:tcPr>
            <w:tcW w:w="709" w:type="dxa"/>
            <w:tcBorders>
              <w:top w:val="nil"/>
              <w:left w:val="nil"/>
              <w:bottom w:val="single" w:sz="4" w:space="0" w:color="999999"/>
              <w:right w:val="single" w:sz="4" w:space="0" w:color="999999"/>
            </w:tcBorders>
            <w:noWrap/>
            <w:vAlign w:val="bottom"/>
            <w:hideMark/>
          </w:tcPr>
          <w:p w14:paraId="4C5F7743"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709" w:type="dxa"/>
            <w:tcBorders>
              <w:top w:val="nil"/>
              <w:left w:val="nil"/>
              <w:bottom w:val="single" w:sz="4" w:space="0" w:color="999999"/>
              <w:right w:val="single" w:sz="4" w:space="0" w:color="999999"/>
            </w:tcBorders>
            <w:noWrap/>
            <w:vAlign w:val="bottom"/>
            <w:hideMark/>
          </w:tcPr>
          <w:p w14:paraId="056F349D"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709" w:type="dxa"/>
            <w:tcBorders>
              <w:top w:val="nil"/>
              <w:left w:val="nil"/>
              <w:bottom w:val="single" w:sz="4" w:space="0" w:color="999999"/>
              <w:right w:val="single" w:sz="4" w:space="0" w:color="999999"/>
            </w:tcBorders>
            <w:noWrap/>
            <w:vAlign w:val="bottom"/>
            <w:hideMark/>
          </w:tcPr>
          <w:p w14:paraId="16421466"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708" w:type="dxa"/>
            <w:tcBorders>
              <w:top w:val="nil"/>
              <w:left w:val="nil"/>
              <w:bottom w:val="single" w:sz="4" w:space="0" w:color="999999"/>
              <w:right w:val="single" w:sz="4" w:space="0" w:color="999999"/>
            </w:tcBorders>
            <w:noWrap/>
            <w:vAlign w:val="bottom"/>
            <w:hideMark/>
          </w:tcPr>
          <w:p w14:paraId="00154ABA"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709" w:type="dxa"/>
            <w:tcBorders>
              <w:top w:val="nil"/>
              <w:left w:val="nil"/>
              <w:bottom w:val="single" w:sz="4" w:space="0" w:color="999999"/>
              <w:right w:val="single" w:sz="4" w:space="0" w:color="999999"/>
            </w:tcBorders>
            <w:noWrap/>
            <w:vAlign w:val="bottom"/>
            <w:hideMark/>
          </w:tcPr>
          <w:p w14:paraId="4BE0617D"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709" w:type="dxa"/>
            <w:tcBorders>
              <w:top w:val="nil"/>
              <w:left w:val="nil"/>
              <w:bottom w:val="single" w:sz="4" w:space="0" w:color="999999"/>
              <w:right w:val="single" w:sz="4" w:space="0" w:color="999999"/>
            </w:tcBorders>
            <w:noWrap/>
            <w:vAlign w:val="bottom"/>
            <w:hideMark/>
          </w:tcPr>
          <w:p w14:paraId="7A08E0C9"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709" w:type="dxa"/>
            <w:tcBorders>
              <w:top w:val="nil"/>
              <w:left w:val="nil"/>
              <w:bottom w:val="single" w:sz="4" w:space="0" w:color="999999"/>
              <w:right w:val="single" w:sz="4" w:space="0" w:color="999999"/>
            </w:tcBorders>
            <w:noWrap/>
            <w:vAlign w:val="bottom"/>
            <w:hideMark/>
          </w:tcPr>
          <w:p w14:paraId="41A46778"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850" w:type="dxa"/>
            <w:tcBorders>
              <w:top w:val="nil"/>
              <w:left w:val="nil"/>
              <w:bottom w:val="single" w:sz="4" w:space="0" w:color="999999"/>
              <w:right w:val="single" w:sz="4" w:space="0" w:color="999999"/>
            </w:tcBorders>
            <w:noWrap/>
            <w:vAlign w:val="bottom"/>
            <w:hideMark/>
          </w:tcPr>
          <w:p w14:paraId="5B224886"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r>
      <w:tr w:rsidR="00C03F8A" w:rsidRPr="00CC7888" w14:paraId="798ADA39" w14:textId="77777777" w:rsidTr="00C03F8A">
        <w:trPr>
          <w:trHeight w:val="300"/>
        </w:trPr>
        <w:tc>
          <w:tcPr>
            <w:tcW w:w="1843" w:type="dxa"/>
            <w:tcBorders>
              <w:top w:val="nil"/>
              <w:left w:val="single" w:sz="4" w:space="0" w:color="999999"/>
              <w:bottom w:val="single" w:sz="4" w:space="0" w:color="999999"/>
              <w:right w:val="single" w:sz="4" w:space="0" w:color="999999"/>
            </w:tcBorders>
            <w:noWrap/>
            <w:vAlign w:val="bottom"/>
            <w:hideMark/>
          </w:tcPr>
          <w:p w14:paraId="70D0C337"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Mas de 449.172 hasta 898.343</w:t>
            </w:r>
          </w:p>
        </w:tc>
        <w:tc>
          <w:tcPr>
            <w:tcW w:w="851" w:type="dxa"/>
            <w:tcBorders>
              <w:top w:val="nil"/>
              <w:left w:val="nil"/>
              <w:bottom w:val="single" w:sz="4" w:space="0" w:color="999999"/>
              <w:right w:val="single" w:sz="4" w:space="0" w:color="999999"/>
            </w:tcBorders>
            <w:noWrap/>
            <w:vAlign w:val="bottom"/>
            <w:hideMark/>
          </w:tcPr>
          <w:p w14:paraId="13DE0BAB"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50%</w:t>
            </w:r>
          </w:p>
        </w:tc>
        <w:tc>
          <w:tcPr>
            <w:tcW w:w="708" w:type="dxa"/>
            <w:tcBorders>
              <w:top w:val="nil"/>
              <w:left w:val="nil"/>
              <w:bottom w:val="single" w:sz="4" w:space="0" w:color="999999"/>
              <w:right w:val="single" w:sz="4" w:space="0" w:color="999999"/>
            </w:tcBorders>
            <w:noWrap/>
            <w:vAlign w:val="bottom"/>
            <w:hideMark/>
          </w:tcPr>
          <w:p w14:paraId="48726E2C"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35%</w:t>
            </w:r>
          </w:p>
        </w:tc>
        <w:tc>
          <w:tcPr>
            <w:tcW w:w="709" w:type="dxa"/>
            <w:tcBorders>
              <w:top w:val="nil"/>
              <w:left w:val="nil"/>
              <w:bottom w:val="single" w:sz="4" w:space="0" w:color="999999"/>
              <w:right w:val="single" w:sz="4" w:space="0" w:color="999999"/>
            </w:tcBorders>
            <w:noWrap/>
            <w:vAlign w:val="bottom"/>
            <w:hideMark/>
          </w:tcPr>
          <w:p w14:paraId="68F959A9"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25%</w:t>
            </w:r>
          </w:p>
        </w:tc>
        <w:tc>
          <w:tcPr>
            <w:tcW w:w="709" w:type="dxa"/>
            <w:tcBorders>
              <w:top w:val="nil"/>
              <w:left w:val="nil"/>
              <w:bottom w:val="single" w:sz="4" w:space="0" w:color="999999"/>
              <w:right w:val="single" w:sz="4" w:space="0" w:color="999999"/>
            </w:tcBorders>
            <w:noWrap/>
            <w:vAlign w:val="bottom"/>
            <w:hideMark/>
          </w:tcPr>
          <w:p w14:paraId="40F193C4"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10%</w:t>
            </w:r>
          </w:p>
        </w:tc>
        <w:tc>
          <w:tcPr>
            <w:tcW w:w="709" w:type="dxa"/>
            <w:tcBorders>
              <w:top w:val="nil"/>
              <w:left w:val="nil"/>
              <w:bottom w:val="single" w:sz="4" w:space="0" w:color="999999"/>
              <w:right w:val="single" w:sz="4" w:space="0" w:color="999999"/>
            </w:tcBorders>
            <w:noWrap/>
            <w:vAlign w:val="bottom"/>
            <w:hideMark/>
          </w:tcPr>
          <w:p w14:paraId="0EBEAB36"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5%</w:t>
            </w:r>
          </w:p>
        </w:tc>
        <w:tc>
          <w:tcPr>
            <w:tcW w:w="708" w:type="dxa"/>
            <w:tcBorders>
              <w:top w:val="nil"/>
              <w:left w:val="nil"/>
              <w:bottom w:val="single" w:sz="4" w:space="0" w:color="999999"/>
              <w:right w:val="single" w:sz="4" w:space="0" w:color="999999"/>
            </w:tcBorders>
            <w:noWrap/>
            <w:vAlign w:val="bottom"/>
            <w:hideMark/>
          </w:tcPr>
          <w:p w14:paraId="43BAE466"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709" w:type="dxa"/>
            <w:tcBorders>
              <w:top w:val="nil"/>
              <w:left w:val="nil"/>
              <w:bottom w:val="single" w:sz="4" w:space="0" w:color="999999"/>
              <w:right w:val="single" w:sz="4" w:space="0" w:color="999999"/>
            </w:tcBorders>
            <w:noWrap/>
            <w:vAlign w:val="bottom"/>
            <w:hideMark/>
          </w:tcPr>
          <w:p w14:paraId="73D8F637"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709" w:type="dxa"/>
            <w:tcBorders>
              <w:top w:val="nil"/>
              <w:left w:val="nil"/>
              <w:bottom w:val="single" w:sz="4" w:space="0" w:color="999999"/>
              <w:right w:val="single" w:sz="4" w:space="0" w:color="999999"/>
            </w:tcBorders>
            <w:noWrap/>
            <w:vAlign w:val="bottom"/>
            <w:hideMark/>
          </w:tcPr>
          <w:p w14:paraId="656AA206"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709" w:type="dxa"/>
            <w:tcBorders>
              <w:top w:val="nil"/>
              <w:left w:val="nil"/>
              <w:bottom w:val="single" w:sz="4" w:space="0" w:color="999999"/>
              <w:right w:val="single" w:sz="4" w:space="0" w:color="999999"/>
            </w:tcBorders>
            <w:noWrap/>
            <w:vAlign w:val="bottom"/>
            <w:hideMark/>
          </w:tcPr>
          <w:p w14:paraId="46D6BEBC"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850" w:type="dxa"/>
            <w:tcBorders>
              <w:top w:val="nil"/>
              <w:left w:val="nil"/>
              <w:bottom w:val="single" w:sz="4" w:space="0" w:color="999999"/>
              <w:right w:val="single" w:sz="4" w:space="0" w:color="999999"/>
            </w:tcBorders>
            <w:noWrap/>
            <w:vAlign w:val="bottom"/>
            <w:hideMark/>
          </w:tcPr>
          <w:p w14:paraId="3760041F"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r>
      <w:tr w:rsidR="00C03F8A" w:rsidRPr="00CC7888" w14:paraId="3B8420F7" w14:textId="77777777" w:rsidTr="00C03F8A">
        <w:trPr>
          <w:trHeight w:val="465"/>
        </w:trPr>
        <w:tc>
          <w:tcPr>
            <w:tcW w:w="1843" w:type="dxa"/>
            <w:tcBorders>
              <w:top w:val="nil"/>
              <w:left w:val="single" w:sz="4" w:space="0" w:color="999999"/>
              <w:bottom w:val="single" w:sz="4" w:space="0" w:color="999999"/>
              <w:right w:val="single" w:sz="4" w:space="0" w:color="999999"/>
            </w:tcBorders>
            <w:noWrap/>
            <w:vAlign w:val="bottom"/>
            <w:hideMark/>
          </w:tcPr>
          <w:p w14:paraId="5EE2A90D"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Más de 898.343</w:t>
            </w:r>
          </w:p>
        </w:tc>
        <w:tc>
          <w:tcPr>
            <w:tcW w:w="851" w:type="dxa"/>
            <w:tcBorders>
              <w:top w:val="nil"/>
              <w:left w:val="nil"/>
              <w:bottom w:val="single" w:sz="4" w:space="0" w:color="999999"/>
              <w:right w:val="single" w:sz="4" w:space="0" w:color="999999"/>
            </w:tcBorders>
            <w:noWrap/>
            <w:vAlign w:val="bottom"/>
            <w:hideMark/>
          </w:tcPr>
          <w:p w14:paraId="387C4ABD"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50%</w:t>
            </w:r>
          </w:p>
        </w:tc>
        <w:tc>
          <w:tcPr>
            <w:tcW w:w="708" w:type="dxa"/>
            <w:tcBorders>
              <w:top w:val="nil"/>
              <w:left w:val="nil"/>
              <w:bottom w:val="single" w:sz="4" w:space="0" w:color="999999"/>
              <w:right w:val="single" w:sz="4" w:space="0" w:color="999999"/>
            </w:tcBorders>
            <w:noWrap/>
            <w:vAlign w:val="bottom"/>
            <w:hideMark/>
          </w:tcPr>
          <w:p w14:paraId="134C0789"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45%</w:t>
            </w:r>
          </w:p>
        </w:tc>
        <w:tc>
          <w:tcPr>
            <w:tcW w:w="709" w:type="dxa"/>
            <w:tcBorders>
              <w:top w:val="nil"/>
              <w:left w:val="nil"/>
              <w:bottom w:val="single" w:sz="4" w:space="0" w:color="999999"/>
              <w:right w:val="single" w:sz="4" w:space="0" w:color="999999"/>
            </w:tcBorders>
            <w:noWrap/>
            <w:vAlign w:val="bottom"/>
            <w:hideMark/>
          </w:tcPr>
          <w:p w14:paraId="66C9C232"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40%</w:t>
            </w:r>
          </w:p>
        </w:tc>
        <w:tc>
          <w:tcPr>
            <w:tcW w:w="709" w:type="dxa"/>
            <w:tcBorders>
              <w:top w:val="nil"/>
              <w:left w:val="nil"/>
              <w:bottom w:val="single" w:sz="4" w:space="0" w:color="999999"/>
              <w:right w:val="single" w:sz="4" w:space="0" w:color="999999"/>
            </w:tcBorders>
            <w:noWrap/>
            <w:vAlign w:val="bottom"/>
            <w:hideMark/>
          </w:tcPr>
          <w:p w14:paraId="652BF78A"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35%</w:t>
            </w:r>
          </w:p>
        </w:tc>
        <w:tc>
          <w:tcPr>
            <w:tcW w:w="709" w:type="dxa"/>
            <w:tcBorders>
              <w:top w:val="nil"/>
              <w:left w:val="nil"/>
              <w:bottom w:val="single" w:sz="4" w:space="0" w:color="999999"/>
              <w:right w:val="single" w:sz="4" w:space="0" w:color="999999"/>
            </w:tcBorders>
            <w:noWrap/>
            <w:vAlign w:val="bottom"/>
            <w:hideMark/>
          </w:tcPr>
          <w:p w14:paraId="62C4613E"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30%</w:t>
            </w:r>
          </w:p>
        </w:tc>
        <w:tc>
          <w:tcPr>
            <w:tcW w:w="708" w:type="dxa"/>
            <w:tcBorders>
              <w:top w:val="nil"/>
              <w:left w:val="nil"/>
              <w:bottom w:val="single" w:sz="4" w:space="0" w:color="999999"/>
              <w:right w:val="single" w:sz="4" w:space="0" w:color="999999"/>
            </w:tcBorders>
            <w:noWrap/>
            <w:vAlign w:val="bottom"/>
            <w:hideMark/>
          </w:tcPr>
          <w:p w14:paraId="22D367E2"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25%</w:t>
            </w:r>
          </w:p>
        </w:tc>
        <w:tc>
          <w:tcPr>
            <w:tcW w:w="709" w:type="dxa"/>
            <w:tcBorders>
              <w:top w:val="nil"/>
              <w:left w:val="nil"/>
              <w:bottom w:val="single" w:sz="4" w:space="0" w:color="999999"/>
              <w:right w:val="single" w:sz="4" w:space="0" w:color="999999"/>
            </w:tcBorders>
            <w:noWrap/>
            <w:vAlign w:val="bottom"/>
            <w:hideMark/>
          </w:tcPr>
          <w:p w14:paraId="23451335"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20%</w:t>
            </w:r>
          </w:p>
        </w:tc>
        <w:tc>
          <w:tcPr>
            <w:tcW w:w="709" w:type="dxa"/>
            <w:tcBorders>
              <w:top w:val="nil"/>
              <w:left w:val="nil"/>
              <w:bottom w:val="single" w:sz="4" w:space="0" w:color="999999"/>
              <w:right w:val="single" w:sz="4" w:space="0" w:color="999999"/>
            </w:tcBorders>
            <w:noWrap/>
            <w:vAlign w:val="bottom"/>
            <w:hideMark/>
          </w:tcPr>
          <w:p w14:paraId="2BFEA462"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15%</w:t>
            </w:r>
          </w:p>
        </w:tc>
        <w:tc>
          <w:tcPr>
            <w:tcW w:w="709" w:type="dxa"/>
            <w:tcBorders>
              <w:top w:val="nil"/>
              <w:left w:val="nil"/>
              <w:bottom w:val="single" w:sz="4" w:space="0" w:color="999999"/>
              <w:right w:val="single" w:sz="4" w:space="0" w:color="999999"/>
            </w:tcBorders>
            <w:noWrap/>
            <w:vAlign w:val="bottom"/>
            <w:hideMark/>
          </w:tcPr>
          <w:p w14:paraId="62F50C0E"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10%</w:t>
            </w:r>
          </w:p>
        </w:tc>
        <w:tc>
          <w:tcPr>
            <w:tcW w:w="850" w:type="dxa"/>
            <w:tcBorders>
              <w:top w:val="nil"/>
              <w:left w:val="nil"/>
              <w:bottom w:val="single" w:sz="4" w:space="0" w:color="999999"/>
              <w:right w:val="single" w:sz="4" w:space="0" w:color="999999"/>
            </w:tcBorders>
            <w:noWrap/>
            <w:vAlign w:val="bottom"/>
            <w:hideMark/>
          </w:tcPr>
          <w:p w14:paraId="6DDC67B9"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5%</w:t>
            </w:r>
          </w:p>
        </w:tc>
      </w:tr>
    </w:tbl>
    <w:p w14:paraId="1DE00A9E" w14:textId="77777777" w:rsidR="00083B28" w:rsidRDefault="00083B28" w:rsidP="00747568">
      <w:pPr>
        <w:spacing w:line="276" w:lineRule="auto"/>
        <w:jc w:val="both"/>
        <w:rPr>
          <w:rFonts w:ascii="Times New Roman" w:hAnsi="Times New Roman"/>
          <w:b/>
          <w:bCs/>
        </w:rPr>
      </w:pPr>
    </w:p>
    <w:p w14:paraId="06298138" w14:textId="519CCF75" w:rsidR="00CC7888" w:rsidRPr="00747568" w:rsidRDefault="00747568" w:rsidP="00747568">
      <w:pPr>
        <w:spacing w:line="276" w:lineRule="auto"/>
        <w:jc w:val="both"/>
        <w:rPr>
          <w:rFonts w:ascii="Times New Roman" w:hAnsi="Times New Roman"/>
        </w:rPr>
      </w:pPr>
      <w:r>
        <w:rPr>
          <w:rFonts w:ascii="Times New Roman" w:hAnsi="Times New Roman"/>
          <w:b/>
          <w:bCs/>
        </w:rPr>
        <w:t xml:space="preserve">Artículo 9. </w:t>
      </w:r>
      <w:r w:rsidR="00CC7888" w:rsidRPr="00747568">
        <w:rPr>
          <w:rFonts w:ascii="Times New Roman" w:hAnsi="Times New Roman"/>
        </w:rPr>
        <w:t>El Distrito Capital</w:t>
      </w:r>
      <w:r w:rsidR="00405240">
        <w:rPr>
          <w:rFonts w:ascii="Times New Roman" w:hAnsi="Times New Roman"/>
        </w:rPr>
        <w:t>, a través de la Secretaría Distrital de Hacienda,</w:t>
      </w:r>
      <w:r w:rsidR="00CC7888" w:rsidRPr="00747568">
        <w:rPr>
          <w:rFonts w:ascii="Times New Roman" w:hAnsi="Times New Roman"/>
        </w:rPr>
        <w:t xml:space="preserve"> reglamentará el procedimiento para presentar los proyectos de inversión, la forma en que se conformará la instancia respectiva y, en general, el procedimiento que se deba surtir para la verificación del cumplimiento de los requisitos señalados en este artículo. </w:t>
      </w:r>
    </w:p>
    <w:p w14:paraId="014EFA38" w14:textId="77777777" w:rsidR="00CC7888" w:rsidRPr="00CC7888" w:rsidRDefault="00CC7888" w:rsidP="00747568">
      <w:pPr>
        <w:pStyle w:val="Prrafodelista"/>
        <w:spacing w:line="276" w:lineRule="auto"/>
        <w:jc w:val="both"/>
        <w:rPr>
          <w:rFonts w:ascii="Times New Roman" w:hAnsi="Times New Roman"/>
        </w:rPr>
      </w:pPr>
    </w:p>
    <w:p w14:paraId="4DE1E4A6" w14:textId="42A6B6DF" w:rsidR="00CC7888" w:rsidRPr="00747568" w:rsidRDefault="00CC7888" w:rsidP="00747568">
      <w:pPr>
        <w:spacing w:line="276" w:lineRule="auto"/>
        <w:jc w:val="both"/>
        <w:rPr>
          <w:rFonts w:ascii="Times New Roman" w:hAnsi="Times New Roman"/>
        </w:rPr>
      </w:pPr>
      <w:r w:rsidRPr="00747568">
        <w:rPr>
          <w:rFonts w:ascii="Times New Roman" w:hAnsi="Times New Roman"/>
          <w:b/>
          <w:bCs/>
        </w:rPr>
        <w:t>Parágrafo</w:t>
      </w:r>
      <w:r w:rsidR="00405240">
        <w:rPr>
          <w:rFonts w:ascii="Times New Roman" w:hAnsi="Times New Roman"/>
          <w:b/>
          <w:bCs/>
        </w:rPr>
        <w:t xml:space="preserve"> 1</w:t>
      </w:r>
      <w:r w:rsidRPr="00747568">
        <w:rPr>
          <w:rFonts w:ascii="Times New Roman" w:hAnsi="Times New Roman"/>
          <w:b/>
          <w:bCs/>
        </w:rPr>
        <w:t>.</w:t>
      </w:r>
      <w:r w:rsidRPr="00747568">
        <w:rPr>
          <w:rFonts w:ascii="Times New Roman" w:hAnsi="Times New Roman"/>
        </w:rPr>
        <w:t xml:space="preserve"> El cumplimiento de los requisitos señalados en </w:t>
      </w:r>
      <w:r w:rsidR="00747568">
        <w:rPr>
          <w:rFonts w:ascii="Times New Roman" w:hAnsi="Times New Roman"/>
        </w:rPr>
        <w:t>los artículos 7 y 8</w:t>
      </w:r>
      <w:r w:rsidRPr="00747568">
        <w:rPr>
          <w:rFonts w:ascii="Times New Roman" w:hAnsi="Times New Roman"/>
        </w:rPr>
        <w:t xml:space="preserve"> </w:t>
      </w:r>
      <w:r w:rsidR="00747568">
        <w:rPr>
          <w:rFonts w:ascii="Times New Roman" w:hAnsi="Times New Roman"/>
        </w:rPr>
        <w:t>del presente acuerdo</w:t>
      </w:r>
      <w:r w:rsidRPr="00747568">
        <w:rPr>
          <w:rFonts w:ascii="Times New Roman" w:hAnsi="Times New Roman"/>
        </w:rPr>
        <w:t xml:space="preserve"> solo podrá efectuarse por parte de los contribuyentes interesados a más tardar el 31 de diciembre de 2035. </w:t>
      </w:r>
    </w:p>
    <w:p w14:paraId="6E0D97E2" w14:textId="77777777" w:rsidR="00CC7888" w:rsidRPr="00CC7888" w:rsidRDefault="00CC7888" w:rsidP="00747568">
      <w:pPr>
        <w:pStyle w:val="Prrafodelista"/>
        <w:spacing w:line="276" w:lineRule="auto"/>
        <w:jc w:val="both"/>
        <w:rPr>
          <w:rFonts w:ascii="Times New Roman" w:hAnsi="Times New Roman"/>
        </w:rPr>
      </w:pPr>
    </w:p>
    <w:p w14:paraId="3FA32A62" w14:textId="5D36CD32" w:rsidR="00CC7888" w:rsidRDefault="00405240" w:rsidP="00747568">
      <w:pPr>
        <w:spacing w:line="276" w:lineRule="auto"/>
        <w:jc w:val="both"/>
        <w:rPr>
          <w:rFonts w:ascii="Times New Roman" w:hAnsi="Times New Roman"/>
        </w:rPr>
      </w:pPr>
      <w:r w:rsidRPr="00747568">
        <w:rPr>
          <w:rFonts w:ascii="Times New Roman" w:hAnsi="Times New Roman"/>
          <w:b/>
          <w:bCs/>
        </w:rPr>
        <w:t>Parágrafo</w:t>
      </w:r>
      <w:r>
        <w:rPr>
          <w:rFonts w:ascii="Times New Roman" w:hAnsi="Times New Roman"/>
          <w:b/>
          <w:bCs/>
        </w:rPr>
        <w:t xml:space="preserve"> 2</w:t>
      </w:r>
      <w:r w:rsidRPr="00747568">
        <w:rPr>
          <w:rFonts w:ascii="Times New Roman" w:hAnsi="Times New Roman"/>
          <w:b/>
          <w:bCs/>
        </w:rPr>
        <w:t>.</w:t>
      </w:r>
      <w:r w:rsidRPr="00747568">
        <w:rPr>
          <w:rFonts w:ascii="Times New Roman" w:hAnsi="Times New Roman"/>
        </w:rPr>
        <w:t xml:space="preserve"> </w:t>
      </w:r>
      <w:r w:rsidR="00CC7888" w:rsidRPr="00747568">
        <w:rPr>
          <w:rFonts w:ascii="Times New Roman" w:hAnsi="Times New Roman"/>
        </w:rPr>
        <w:t>La exención señalada en este artículo solo podrá ser aplicada en las declaraciones tributarias de los contribuyentes que hayan cumplido la totalidad de los requisitos pertinentes y hasta por diez años, en atención a lo dispuesto en el artículo 38 de la Ley 14 de 1983.</w:t>
      </w:r>
    </w:p>
    <w:p w14:paraId="30326D69" w14:textId="77777777" w:rsidR="00747568" w:rsidRPr="00747568" w:rsidRDefault="00747568" w:rsidP="00747568">
      <w:pPr>
        <w:spacing w:line="276" w:lineRule="auto"/>
        <w:jc w:val="both"/>
        <w:rPr>
          <w:rFonts w:ascii="Times New Roman" w:hAnsi="Times New Roman"/>
        </w:rPr>
      </w:pPr>
    </w:p>
    <w:p w14:paraId="524F2C21" w14:textId="15E02B24" w:rsidR="00CC7888" w:rsidRDefault="00C03F8A" w:rsidP="00747568">
      <w:pPr>
        <w:pBdr>
          <w:top w:val="nil"/>
          <w:left w:val="nil"/>
          <w:bottom w:val="nil"/>
          <w:right w:val="nil"/>
          <w:between w:val="nil"/>
        </w:pBdr>
        <w:spacing w:after="240" w:line="276" w:lineRule="auto"/>
        <w:jc w:val="both"/>
        <w:rPr>
          <w:rFonts w:ascii="Times New Roman" w:hAnsi="Times New Roman"/>
          <w:bCs/>
        </w:rPr>
      </w:pPr>
      <w:r>
        <w:rPr>
          <w:rFonts w:ascii="Times New Roman" w:eastAsia="Calibri" w:hAnsi="Times New Roman"/>
          <w:b/>
          <w:bCs/>
        </w:rPr>
        <w:t xml:space="preserve">Artículo </w:t>
      </w:r>
      <w:r w:rsidR="00747568">
        <w:rPr>
          <w:rFonts w:ascii="Times New Roman" w:eastAsia="Calibri" w:hAnsi="Times New Roman"/>
          <w:b/>
          <w:bCs/>
        </w:rPr>
        <w:t>10</w:t>
      </w:r>
      <w:r w:rsidR="00CC7888">
        <w:rPr>
          <w:rFonts w:ascii="Times New Roman" w:eastAsia="Calibri" w:hAnsi="Times New Roman"/>
          <w:b/>
          <w:bCs/>
        </w:rPr>
        <w:t xml:space="preserve">. </w:t>
      </w:r>
      <w:r w:rsidR="006249B2">
        <w:rPr>
          <w:rFonts w:ascii="Times New Roman" w:eastAsia="Calibri" w:hAnsi="Times New Roman"/>
        </w:rPr>
        <w:t xml:space="preserve">La Administración </w:t>
      </w:r>
      <w:r w:rsidR="006249B2">
        <w:rPr>
          <w:rFonts w:ascii="Times New Roman" w:hAnsi="Times New Roman"/>
          <w:bCs/>
        </w:rPr>
        <w:t>Distrital creará</w:t>
      </w:r>
      <w:r w:rsidR="006249B2" w:rsidRPr="00DC76FF">
        <w:rPr>
          <w:rFonts w:ascii="Times New Roman" w:hAnsi="Times New Roman"/>
          <w:bCs/>
        </w:rPr>
        <w:t xml:space="preserve"> </w:t>
      </w:r>
      <w:r w:rsidR="006249B2">
        <w:rPr>
          <w:rFonts w:ascii="Times New Roman" w:hAnsi="Times New Roman"/>
          <w:bCs/>
        </w:rPr>
        <w:t>el</w:t>
      </w:r>
      <w:r w:rsidR="006249B2" w:rsidRPr="00DC76FF">
        <w:rPr>
          <w:rFonts w:ascii="Times New Roman" w:hAnsi="Times New Roman"/>
          <w:bCs/>
        </w:rPr>
        <w:t xml:space="preserve"> Sello </w:t>
      </w:r>
      <w:r w:rsidR="006249B2" w:rsidRPr="00CC7888">
        <w:rPr>
          <w:rFonts w:ascii="Times New Roman" w:hAnsi="Times New Roman"/>
          <w:bCs/>
        </w:rPr>
        <w:t>“Bogotá Invierte con Propósito”</w:t>
      </w:r>
      <w:r w:rsidR="006249B2">
        <w:rPr>
          <w:rFonts w:ascii="Times New Roman" w:hAnsi="Times New Roman"/>
          <w:bCs/>
        </w:rPr>
        <w:t xml:space="preserve"> como mecanismo de identificación de</w:t>
      </w:r>
      <w:r w:rsidR="006249B2" w:rsidRPr="00DC76FF">
        <w:rPr>
          <w:rFonts w:ascii="Times New Roman" w:hAnsi="Times New Roman"/>
          <w:bCs/>
        </w:rPr>
        <w:t xml:space="preserve"> </w:t>
      </w:r>
      <w:r w:rsidR="006249B2">
        <w:rPr>
          <w:rFonts w:ascii="Times New Roman" w:hAnsi="Times New Roman"/>
          <w:bCs/>
        </w:rPr>
        <w:t>Fondos de Inversión Colectiva</w:t>
      </w:r>
      <w:r w:rsidR="006249B2" w:rsidRPr="00DC76FF">
        <w:rPr>
          <w:rFonts w:ascii="Times New Roman" w:hAnsi="Times New Roman"/>
          <w:bCs/>
        </w:rPr>
        <w:t xml:space="preserve"> </w:t>
      </w:r>
      <w:r w:rsidR="006249B2">
        <w:rPr>
          <w:rFonts w:ascii="Times New Roman" w:hAnsi="Times New Roman"/>
          <w:bCs/>
        </w:rPr>
        <w:t xml:space="preserve">e inversionistas individuales </w:t>
      </w:r>
      <w:r w:rsidR="006249B2" w:rsidRPr="00DC76FF">
        <w:rPr>
          <w:rFonts w:ascii="Times New Roman" w:hAnsi="Times New Roman"/>
          <w:bCs/>
        </w:rPr>
        <w:t xml:space="preserve">que </w:t>
      </w:r>
      <w:r w:rsidR="006249B2">
        <w:rPr>
          <w:rFonts w:ascii="Times New Roman" w:hAnsi="Times New Roman"/>
          <w:bCs/>
        </w:rPr>
        <w:t>dirijan sus recursos</w:t>
      </w:r>
      <w:r w:rsidR="006249B2" w:rsidRPr="00DC76FF">
        <w:rPr>
          <w:rFonts w:ascii="Times New Roman" w:hAnsi="Times New Roman"/>
          <w:bCs/>
        </w:rPr>
        <w:t xml:space="preserve"> hacia </w:t>
      </w:r>
      <w:r w:rsidR="00CC7888">
        <w:rPr>
          <w:rFonts w:ascii="Times New Roman" w:hAnsi="Times New Roman"/>
          <w:bCs/>
        </w:rPr>
        <w:t>los sectores productivos priorizados</w:t>
      </w:r>
      <w:r w:rsidR="00747568">
        <w:rPr>
          <w:rFonts w:ascii="Times New Roman" w:hAnsi="Times New Roman"/>
          <w:bCs/>
        </w:rPr>
        <w:t xml:space="preserve"> en el presente acuerdo y los demás definidos</w:t>
      </w:r>
      <w:r w:rsidR="00CC7888">
        <w:rPr>
          <w:rFonts w:ascii="Times New Roman" w:hAnsi="Times New Roman"/>
          <w:bCs/>
        </w:rPr>
        <w:t xml:space="preserve"> por la Administración.</w:t>
      </w:r>
    </w:p>
    <w:p w14:paraId="0F65DC61" w14:textId="065F447B" w:rsidR="006249B2" w:rsidRDefault="006249B2" w:rsidP="00747568">
      <w:pPr>
        <w:pBdr>
          <w:top w:val="nil"/>
          <w:left w:val="nil"/>
          <w:bottom w:val="nil"/>
          <w:right w:val="nil"/>
          <w:between w:val="nil"/>
        </w:pBdr>
        <w:spacing w:after="240" w:line="276" w:lineRule="auto"/>
        <w:jc w:val="both"/>
        <w:rPr>
          <w:rFonts w:ascii="Times New Roman" w:eastAsia="Calibri" w:hAnsi="Times New Roman"/>
        </w:rPr>
      </w:pPr>
      <w:r>
        <w:rPr>
          <w:rFonts w:ascii="Times New Roman" w:eastAsia="Calibri" w:hAnsi="Times New Roman"/>
          <w:b/>
        </w:rPr>
        <w:t xml:space="preserve">Artículo </w:t>
      </w:r>
      <w:r w:rsidR="00747568">
        <w:rPr>
          <w:rFonts w:ascii="Times New Roman" w:eastAsia="Calibri" w:hAnsi="Times New Roman"/>
          <w:b/>
        </w:rPr>
        <w:t>11</w:t>
      </w:r>
      <w:r w:rsidRPr="005C6F2B">
        <w:rPr>
          <w:rFonts w:ascii="Times New Roman" w:eastAsia="Calibri" w:hAnsi="Times New Roman"/>
          <w:b/>
        </w:rPr>
        <w:t>.</w:t>
      </w:r>
      <w:r w:rsidRPr="005C6F2B">
        <w:rPr>
          <w:rFonts w:ascii="Times New Roman" w:eastAsia="Calibri" w:hAnsi="Times New Roman"/>
        </w:rPr>
        <w:t xml:space="preserve"> El presente Acuerdo rige a partir de la fecha de su publicación.</w:t>
      </w:r>
    </w:p>
    <w:p w14:paraId="51C439DF" w14:textId="77777777" w:rsidR="006249B2" w:rsidRPr="005C6F2B" w:rsidRDefault="006249B2" w:rsidP="00747568">
      <w:pPr>
        <w:pBdr>
          <w:top w:val="nil"/>
          <w:left w:val="nil"/>
          <w:bottom w:val="nil"/>
          <w:right w:val="nil"/>
          <w:between w:val="nil"/>
        </w:pBdr>
        <w:spacing w:after="240" w:line="276" w:lineRule="auto"/>
        <w:jc w:val="both"/>
        <w:rPr>
          <w:rFonts w:ascii="Times New Roman" w:eastAsia="Calibri" w:hAnsi="Times New Roman"/>
        </w:rPr>
      </w:pPr>
    </w:p>
    <w:p w14:paraId="6FED0889" w14:textId="77777777" w:rsidR="006249B2" w:rsidRPr="005C6F2B" w:rsidRDefault="006249B2" w:rsidP="00747568">
      <w:pPr>
        <w:pBdr>
          <w:top w:val="nil"/>
          <w:left w:val="nil"/>
          <w:bottom w:val="nil"/>
          <w:right w:val="nil"/>
          <w:between w:val="nil"/>
        </w:pBdr>
        <w:spacing w:after="240" w:line="276" w:lineRule="auto"/>
        <w:jc w:val="center"/>
        <w:rPr>
          <w:rFonts w:ascii="Times New Roman" w:eastAsia="Calibri" w:hAnsi="Times New Roman"/>
          <w:b/>
        </w:rPr>
      </w:pPr>
      <w:r w:rsidRPr="005C6F2B">
        <w:rPr>
          <w:rFonts w:ascii="Times New Roman" w:eastAsia="Calibri" w:hAnsi="Times New Roman"/>
          <w:b/>
        </w:rPr>
        <w:t>PUBLIQUESE Y CUMPLASE.</w:t>
      </w:r>
    </w:p>
    <w:p w14:paraId="1DE1ABA0" w14:textId="77777777" w:rsidR="00C8470C" w:rsidRPr="005C6F2B" w:rsidRDefault="00C8470C" w:rsidP="004B1D6B">
      <w:pPr>
        <w:spacing w:after="240" w:line="276" w:lineRule="auto"/>
        <w:jc w:val="center"/>
        <w:rPr>
          <w:rFonts w:ascii="Times New Roman" w:hAnsi="Times New Roman"/>
        </w:rPr>
      </w:pPr>
    </w:p>
    <w:sectPr w:rsidR="00C8470C" w:rsidRPr="005C6F2B" w:rsidSect="0076591A">
      <w:headerReference w:type="default" r:id="rId17"/>
      <w:footerReference w:type="even" r:id="rId18"/>
      <w:footerReference w:type="default" r:id="rId19"/>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6D7F8" w14:textId="77777777" w:rsidR="0001489A" w:rsidRDefault="0001489A">
      <w:r>
        <w:separator/>
      </w:r>
    </w:p>
  </w:endnote>
  <w:endnote w:type="continuationSeparator" w:id="0">
    <w:p w14:paraId="7A37827E" w14:textId="77777777" w:rsidR="0001489A" w:rsidRDefault="00014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6AF76" w14:textId="77777777" w:rsidR="00476E03" w:rsidRDefault="00476E03"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F25E622" w14:textId="77777777" w:rsidR="00476E03" w:rsidRDefault="00476E03"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62F29" w14:textId="77777777" w:rsidR="00476E03" w:rsidRDefault="00476E03" w:rsidP="00FB2DEE">
    <w:pPr>
      <w:pStyle w:val="Piedepgina"/>
      <w:jc w:val="center"/>
      <w:rPr>
        <w:sz w:val="18"/>
        <w:szCs w:val="16"/>
      </w:rPr>
    </w:pPr>
  </w:p>
  <w:p w14:paraId="439C2D4F" w14:textId="77777777" w:rsidR="00476E03" w:rsidRDefault="00476E03" w:rsidP="00FB2DEE">
    <w:pPr>
      <w:pStyle w:val="Piedepgina"/>
      <w:jc w:val="center"/>
      <w:rPr>
        <w:sz w:val="18"/>
        <w:szCs w:val="16"/>
      </w:rPr>
    </w:pPr>
  </w:p>
  <w:p w14:paraId="5982FB60" w14:textId="77777777" w:rsidR="00476E03" w:rsidRPr="0020368C" w:rsidRDefault="00476E03" w:rsidP="00FB2DEE">
    <w:pPr>
      <w:pStyle w:val="Piedepgina"/>
      <w:jc w:val="center"/>
      <w:rPr>
        <w:sz w:val="16"/>
        <w:szCs w:val="16"/>
      </w:rPr>
    </w:pPr>
  </w:p>
  <w:p w14:paraId="10F27D40" w14:textId="77777777" w:rsidR="00476E03" w:rsidRPr="0047614C" w:rsidRDefault="00476E03" w:rsidP="00FB2DEE">
    <w:pPr>
      <w:pStyle w:val="Piedepgina"/>
      <w:rPr>
        <w:sz w:val="16"/>
        <w:szCs w:val="18"/>
      </w:rPr>
    </w:pPr>
  </w:p>
  <w:p w14:paraId="41BBBEE4" w14:textId="77777777" w:rsidR="00476E03" w:rsidRPr="0047614C" w:rsidRDefault="00476E03" w:rsidP="00FB2DEE">
    <w:pPr>
      <w:pStyle w:val="Piedepgina"/>
      <w:rPr>
        <w:sz w:val="16"/>
        <w:szCs w:val="18"/>
      </w:rPr>
    </w:pPr>
  </w:p>
  <w:p w14:paraId="5A9704F9" w14:textId="77777777" w:rsidR="00476E03" w:rsidRDefault="00476E03" w:rsidP="00FB2DEE">
    <w:pPr>
      <w:jc w:val="right"/>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BFD51" w14:textId="77777777" w:rsidR="0001489A" w:rsidRDefault="0001489A">
      <w:r>
        <w:separator/>
      </w:r>
    </w:p>
  </w:footnote>
  <w:footnote w:type="continuationSeparator" w:id="0">
    <w:p w14:paraId="7644573E" w14:textId="77777777" w:rsidR="0001489A" w:rsidRDefault="0001489A">
      <w:r>
        <w:continuationSeparator/>
      </w:r>
    </w:p>
  </w:footnote>
  <w:footnote w:id="1">
    <w:p w14:paraId="422AF651" w14:textId="6AA1B46B" w:rsidR="00476E03" w:rsidRPr="00AB235B" w:rsidRDefault="00476E03" w:rsidP="00F90F6B">
      <w:pPr>
        <w:pStyle w:val="Textonotapie"/>
        <w:jc w:val="both"/>
        <w:rPr>
          <w:lang w:val="es-CO"/>
        </w:rPr>
      </w:pPr>
      <w:r>
        <w:rPr>
          <w:rStyle w:val="Refdenotaalpie"/>
        </w:rPr>
        <w:footnoteRef/>
      </w:r>
      <w:r>
        <w:t xml:space="preserve"> </w:t>
      </w:r>
      <w:r>
        <w:rPr>
          <w:rFonts w:ascii="Times New Roman" w:hAnsi="Times New Roman"/>
          <w:sz w:val="18"/>
          <w:szCs w:val="18"/>
        </w:rPr>
        <w:t>CONFECÁMARAS</w:t>
      </w:r>
      <w:r w:rsidRPr="00DF1F2C">
        <w:rPr>
          <w:rFonts w:ascii="Times New Roman" w:hAnsi="Times New Roman"/>
          <w:sz w:val="18"/>
          <w:szCs w:val="18"/>
        </w:rPr>
        <w:t xml:space="preserve"> </w:t>
      </w:r>
      <w:r>
        <w:rPr>
          <w:rFonts w:ascii="Times New Roman" w:hAnsi="Times New Roman"/>
          <w:sz w:val="18"/>
          <w:szCs w:val="18"/>
        </w:rPr>
        <w:t>(</w:t>
      </w:r>
      <w:r w:rsidRPr="00DF1F2C">
        <w:rPr>
          <w:rFonts w:ascii="Times New Roman" w:hAnsi="Times New Roman"/>
          <w:sz w:val="18"/>
          <w:szCs w:val="18"/>
        </w:rPr>
        <w:t>2023</w:t>
      </w:r>
      <w:r>
        <w:rPr>
          <w:rFonts w:ascii="Times New Roman" w:hAnsi="Times New Roman"/>
          <w:sz w:val="18"/>
          <w:szCs w:val="18"/>
        </w:rPr>
        <w:t>)</w:t>
      </w:r>
      <w:r w:rsidRPr="00DF1F2C">
        <w:rPr>
          <w:rFonts w:ascii="Times New Roman" w:hAnsi="Times New Roman"/>
          <w:sz w:val="18"/>
          <w:szCs w:val="18"/>
        </w:rPr>
        <w:t>. La Supervivencia Empresarial en Colombia: Estudio de los factores clave que impulsan la permanencia de las empresas en el mercado.</w:t>
      </w:r>
      <w:r>
        <w:rPr>
          <w:rFonts w:ascii="Times New Roman" w:hAnsi="Times New Roman"/>
          <w:sz w:val="18"/>
          <w:szCs w:val="18"/>
        </w:rPr>
        <w:t xml:space="preserve"> Disponible en: </w:t>
      </w:r>
      <w:hyperlink r:id="rId1" w:history="1">
        <w:r w:rsidRPr="00B56B7A">
          <w:rPr>
            <w:rStyle w:val="Hipervnculo"/>
            <w:rFonts w:ascii="Times New Roman" w:hAnsi="Times New Roman"/>
            <w:sz w:val="18"/>
            <w:szCs w:val="18"/>
          </w:rPr>
          <w:t>https://img.lalr.co/cms/2023/05/16174901/ESTUDIO-SUPERVIVENCIA-MAYO-9-1_compressed.pdf</w:t>
        </w:r>
      </w:hyperlink>
      <w:r>
        <w:rPr>
          <w:rFonts w:ascii="Times New Roman" w:hAnsi="Times New Roman"/>
          <w:sz w:val="18"/>
          <w:szCs w:val="18"/>
        </w:rPr>
        <w:t xml:space="preserve"> </w:t>
      </w:r>
    </w:p>
  </w:footnote>
  <w:footnote w:id="2">
    <w:p w14:paraId="0538476A" w14:textId="77777777" w:rsidR="00476E03" w:rsidRPr="00AB235B" w:rsidRDefault="00476E03" w:rsidP="00F90F6B">
      <w:pPr>
        <w:pStyle w:val="Textonotapie"/>
        <w:jc w:val="both"/>
      </w:pPr>
      <w:r>
        <w:rPr>
          <w:rStyle w:val="Refdenotaalpie"/>
        </w:rPr>
        <w:footnoteRef/>
      </w:r>
      <w:r>
        <w:t xml:space="preserve"> </w:t>
      </w:r>
      <w:r w:rsidRPr="00DF1F2C">
        <w:rPr>
          <w:rFonts w:ascii="Times New Roman" w:hAnsi="Times New Roman"/>
          <w:sz w:val="18"/>
          <w:szCs w:val="18"/>
        </w:rPr>
        <w:t>Ibidem.</w:t>
      </w:r>
    </w:p>
  </w:footnote>
  <w:footnote w:id="3">
    <w:p w14:paraId="5B1853A5" w14:textId="4DC9D620" w:rsidR="00476E03" w:rsidRPr="00F90F6B" w:rsidRDefault="00476E03" w:rsidP="00F90F6B">
      <w:pPr>
        <w:pStyle w:val="Textonotapie"/>
        <w:jc w:val="both"/>
        <w:rPr>
          <w:lang w:val="es-CO"/>
        </w:rPr>
      </w:pPr>
      <w:r>
        <w:rPr>
          <w:rStyle w:val="Refdenotaalpie"/>
        </w:rPr>
        <w:footnoteRef/>
      </w:r>
      <w:r>
        <w:t xml:space="preserve"> </w:t>
      </w:r>
      <w:r w:rsidRPr="00DF1F2C">
        <w:rPr>
          <w:rFonts w:ascii="Times New Roman" w:hAnsi="Times New Roman"/>
          <w:sz w:val="18"/>
          <w:szCs w:val="18"/>
        </w:rPr>
        <w:t>Con</w:t>
      </w:r>
      <w:r>
        <w:rPr>
          <w:rFonts w:ascii="Times New Roman" w:hAnsi="Times New Roman"/>
          <w:sz w:val="18"/>
          <w:szCs w:val="18"/>
        </w:rPr>
        <w:t>sejo Privado de Competitividad (</w:t>
      </w:r>
      <w:r w:rsidRPr="00DF1F2C">
        <w:rPr>
          <w:rFonts w:ascii="Times New Roman" w:hAnsi="Times New Roman"/>
          <w:sz w:val="18"/>
          <w:szCs w:val="18"/>
        </w:rPr>
        <w:t>2022</w:t>
      </w:r>
      <w:r>
        <w:rPr>
          <w:rFonts w:ascii="Times New Roman" w:hAnsi="Times New Roman"/>
          <w:sz w:val="18"/>
          <w:szCs w:val="18"/>
        </w:rPr>
        <w:t>)</w:t>
      </w:r>
      <w:r w:rsidRPr="00DF1F2C">
        <w:rPr>
          <w:rFonts w:ascii="Times New Roman" w:hAnsi="Times New Roman"/>
          <w:sz w:val="18"/>
          <w:szCs w:val="18"/>
        </w:rPr>
        <w:t>. Informe Nacional de Competitividad 2021-2022.</w:t>
      </w:r>
      <w:r>
        <w:rPr>
          <w:rFonts w:ascii="Times New Roman" w:hAnsi="Times New Roman"/>
          <w:sz w:val="18"/>
          <w:szCs w:val="18"/>
        </w:rPr>
        <w:t xml:space="preserve"> Disponible en: </w:t>
      </w:r>
      <w:hyperlink r:id="rId2" w:history="1">
        <w:r w:rsidRPr="00B56B7A">
          <w:rPr>
            <w:rStyle w:val="Hipervnculo"/>
            <w:rFonts w:ascii="Times New Roman" w:hAnsi="Times New Roman"/>
            <w:sz w:val="18"/>
            <w:szCs w:val="18"/>
          </w:rPr>
          <w:t>https://compite.com.co/wp-content/uploads/d9a1c3ab-51b2-482c-8efe-ebf336df21a0.pdf</w:t>
        </w:r>
      </w:hyperlink>
      <w:r>
        <w:rPr>
          <w:rFonts w:ascii="Times New Roman" w:hAnsi="Times New Roman"/>
          <w:sz w:val="18"/>
          <w:szCs w:val="18"/>
        </w:rPr>
        <w:t xml:space="preserve"> </w:t>
      </w:r>
    </w:p>
  </w:footnote>
  <w:footnote w:id="4">
    <w:p w14:paraId="4F4DCC3D" w14:textId="30B20F0E" w:rsidR="00476E03" w:rsidRPr="00AB235B" w:rsidRDefault="00476E03" w:rsidP="00F90F6B">
      <w:pPr>
        <w:pStyle w:val="Textonotapie"/>
        <w:jc w:val="both"/>
        <w:rPr>
          <w:lang w:val="es-CO"/>
        </w:rPr>
      </w:pPr>
      <w:r>
        <w:rPr>
          <w:rStyle w:val="Refdenotaalpie"/>
        </w:rPr>
        <w:footnoteRef/>
      </w:r>
      <w:r>
        <w:t xml:space="preserve"> </w:t>
      </w:r>
      <w:r>
        <w:rPr>
          <w:rFonts w:ascii="Times New Roman" w:hAnsi="Times New Roman"/>
          <w:sz w:val="18"/>
          <w:szCs w:val="18"/>
        </w:rPr>
        <w:t xml:space="preserve">Observatorio de Desarrollo Económico de Bogotá. Boletín de Dinámica Empresarial julio 2025. Disponible en: </w:t>
      </w:r>
      <w:hyperlink r:id="rId3" w:history="1">
        <w:r w:rsidRPr="00B56B7A">
          <w:rPr>
            <w:rStyle w:val="Hipervnculo"/>
            <w:rFonts w:ascii="Times New Roman" w:hAnsi="Times New Roman"/>
            <w:sz w:val="18"/>
            <w:szCs w:val="18"/>
          </w:rPr>
          <w:t>https://observatorio.desarrolloeconomico.gov.co/wp-content/uploads/2025/08/Bol-DinEmpre-N-050.pdf</w:t>
        </w:r>
      </w:hyperlink>
      <w:r>
        <w:rPr>
          <w:rFonts w:ascii="Times New Roman" w:hAnsi="Times New Roman"/>
          <w:sz w:val="18"/>
          <w:szCs w:val="18"/>
        </w:rPr>
        <w:t xml:space="preserve"> </w:t>
      </w:r>
    </w:p>
  </w:footnote>
  <w:footnote w:id="5">
    <w:p w14:paraId="76A11E31" w14:textId="26A19062" w:rsidR="00476E03" w:rsidRPr="00B9280D" w:rsidRDefault="00476E03" w:rsidP="00F90F6B">
      <w:pPr>
        <w:pStyle w:val="Textonotapie"/>
        <w:jc w:val="both"/>
        <w:rPr>
          <w:rFonts w:ascii="Times New Roman" w:hAnsi="Times New Roman"/>
          <w:sz w:val="18"/>
          <w:szCs w:val="18"/>
          <w:lang w:val="es-CO"/>
        </w:rPr>
      </w:pPr>
      <w:r>
        <w:rPr>
          <w:rStyle w:val="Refdenotaalpie"/>
        </w:rPr>
        <w:footnoteRef/>
      </w:r>
      <w:r>
        <w:t xml:space="preserve"> </w:t>
      </w:r>
      <w:r w:rsidRPr="00DF1F2C">
        <w:rPr>
          <w:rFonts w:ascii="Times New Roman" w:hAnsi="Times New Roman"/>
          <w:noProof/>
          <w:sz w:val="18"/>
          <w:szCs w:val="18"/>
        </w:rPr>
        <w:t>Co</w:t>
      </w:r>
      <w:r>
        <w:rPr>
          <w:rFonts w:ascii="Times New Roman" w:hAnsi="Times New Roman"/>
          <w:noProof/>
          <w:sz w:val="18"/>
          <w:szCs w:val="18"/>
        </w:rPr>
        <w:t>nsejo Privado de Competitividad</w:t>
      </w:r>
      <w:r w:rsidRPr="00DF1F2C">
        <w:rPr>
          <w:rFonts w:ascii="Times New Roman" w:hAnsi="Times New Roman"/>
          <w:noProof/>
          <w:sz w:val="18"/>
          <w:szCs w:val="18"/>
        </w:rPr>
        <w:t xml:space="preserve"> </w:t>
      </w:r>
      <w:r>
        <w:rPr>
          <w:rFonts w:ascii="Times New Roman" w:hAnsi="Times New Roman"/>
          <w:noProof/>
          <w:sz w:val="18"/>
          <w:szCs w:val="18"/>
        </w:rPr>
        <w:t>(</w:t>
      </w:r>
      <w:r w:rsidRPr="00DF1F2C">
        <w:rPr>
          <w:rFonts w:ascii="Times New Roman" w:hAnsi="Times New Roman"/>
          <w:noProof/>
          <w:sz w:val="18"/>
          <w:szCs w:val="18"/>
        </w:rPr>
        <w:t>2025</w:t>
      </w:r>
      <w:r>
        <w:rPr>
          <w:rFonts w:ascii="Times New Roman" w:hAnsi="Times New Roman"/>
          <w:noProof/>
          <w:sz w:val="18"/>
          <w:szCs w:val="18"/>
        </w:rPr>
        <w:t>)</w:t>
      </w:r>
      <w:r w:rsidRPr="00DF1F2C">
        <w:rPr>
          <w:rFonts w:ascii="Times New Roman" w:hAnsi="Times New Roman"/>
          <w:noProof/>
          <w:sz w:val="18"/>
          <w:szCs w:val="18"/>
        </w:rPr>
        <w:t xml:space="preserve">. </w:t>
      </w:r>
      <w:r w:rsidRPr="00DF1F2C">
        <w:rPr>
          <w:rFonts w:ascii="Times New Roman" w:hAnsi="Times New Roman"/>
          <w:iCs/>
          <w:noProof/>
          <w:sz w:val="18"/>
          <w:szCs w:val="18"/>
        </w:rPr>
        <w:t>Informe Nacional de Competitividad 2024-2025.</w:t>
      </w:r>
      <w:r>
        <w:rPr>
          <w:rFonts w:ascii="Times New Roman" w:hAnsi="Times New Roman"/>
          <w:iCs/>
          <w:noProof/>
          <w:sz w:val="18"/>
          <w:szCs w:val="18"/>
        </w:rPr>
        <w:t xml:space="preserve"> Disponible en: </w:t>
      </w:r>
      <w:hyperlink r:id="rId4" w:history="1">
        <w:r w:rsidRPr="00B56B7A">
          <w:rPr>
            <w:rStyle w:val="Hipervnculo"/>
            <w:rFonts w:ascii="Times New Roman" w:hAnsi="Times New Roman"/>
            <w:iCs/>
            <w:noProof/>
            <w:sz w:val="18"/>
            <w:szCs w:val="18"/>
          </w:rPr>
          <w:t>https://compite.com.co/wp-content/uploads/INC-2024.pdf</w:t>
        </w:r>
      </w:hyperlink>
      <w:r>
        <w:rPr>
          <w:rFonts w:ascii="Times New Roman" w:hAnsi="Times New Roman"/>
          <w:iCs/>
          <w:noProof/>
          <w:sz w:val="18"/>
          <w:szCs w:val="18"/>
        </w:rPr>
        <w:t xml:space="preserve"> </w:t>
      </w:r>
    </w:p>
  </w:footnote>
  <w:footnote w:id="6">
    <w:p w14:paraId="1E103C6F" w14:textId="7E1B76D6" w:rsidR="00476E03" w:rsidRPr="00DF1F2C" w:rsidRDefault="00476E03">
      <w:pPr>
        <w:pStyle w:val="Textonotapie"/>
        <w:rPr>
          <w:lang w:val="es-CO"/>
        </w:rPr>
      </w:pPr>
      <w:r>
        <w:rPr>
          <w:rStyle w:val="Refdenotaalpie"/>
        </w:rPr>
        <w:footnoteRef/>
      </w:r>
      <w:r>
        <w:t xml:space="preserve"> </w:t>
      </w:r>
      <w:r>
        <w:rPr>
          <w:rFonts w:ascii="Times New Roman" w:hAnsi="Times New Roman"/>
          <w:bCs/>
          <w:sz w:val="18"/>
          <w:szCs w:val="18"/>
        </w:rPr>
        <w:t>Cámara de Comercio de Bogotá</w:t>
      </w:r>
      <w:r w:rsidRPr="005C6F2B">
        <w:rPr>
          <w:rFonts w:ascii="Times New Roman" w:hAnsi="Times New Roman"/>
          <w:bCs/>
          <w:sz w:val="18"/>
          <w:szCs w:val="18"/>
        </w:rPr>
        <w:t xml:space="preserve"> </w:t>
      </w:r>
      <w:r>
        <w:rPr>
          <w:rFonts w:ascii="Times New Roman" w:hAnsi="Times New Roman"/>
          <w:bCs/>
          <w:sz w:val="18"/>
          <w:szCs w:val="18"/>
        </w:rPr>
        <w:t>(</w:t>
      </w:r>
      <w:r w:rsidRPr="005C6F2B">
        <w:rPr>
          <w:rFonts w:ascii="Times New Roman" w:hAnsi="Times New Roman"/>
          <w:bCs/>
          <w:sz w:val="18"/>
          <w:szCs w:val="18"/>
        </w:rPr>
        <w:t>2023</w:t>
      </w:r>
      <w:r>
        <w:rPr>
          <w:rFonts w:ascii="Times New Roman" w:hAnsi="Times New Roman"/>
          <w:bCs/>
          <w:sz w:val="18"/>
          <w:szCs w:val="18"/>
        </w:rPr>
        <w:t>)</w:t>
      </w:r>
      <w:r w:rsidRPr="005C6F2B">
        <w:rPr>
          <w:rFonts w:ascii="Times New Roman" w:hAnsi="Times New Roman"/>
          <w:bCs/>
          <w:sz w:val="18"/>
          <w:szCs w:val="18"/>
        </w:rPr>
        <w:t xml:space="preserve">. Citado por Consejo </w:t>
      </w:r>
      <w:r>
        <w:rPr>
          <w:rFonts w:ascii="Times New Roman" w:hAnsi="Times New Roman"/>
          <w:bCs/>
          <w:sz w:val="18"/>
          <w:szCs w:val="18"/>
        </w:rPr>
        <w:t>Privado de Competitividad</w:t>
      </w:r>
      <w:r w:rsidRPr="005C6F2B">
        <w:rPr>
          <w:rFonts w:ascii="Times New Roman" w:hAnsi="Times New Roman"/>
          <w:bCs/>
          <w:sz w:val="18"/>
          <w:szCs w:val="18"/>
        </w:rPr>
        <w:t xml:space="preserve"> </w:t>
      </w:r>
      <w:r>
        <w:rPr>
          <w:rFonts w:ascii="Times New Roman" w:hAnsi="Times New Roman"/>
          <w:bCs/>
          <w:sz w:val="18"/>
          <w:szCs w:val="18"/>
        </w:rPr>
        <w:t>(</w:t>
      </w:r>
      <w:r w:rsidRPr="005C6F2B">
        <w:rPr>
          <w:rFonts w:ascii="Times New Roman" w:hAnsi="Times New Roman"/>
          <w:bCs/>
          <w:sz w:val="18"/>
          <w:szCs w:val="18"/>
        </w:rPr>
        <w:t>2024</w:t>
      </w:r>
      <w:r>
        <w:rPr>
          <w:rFonts w:ascii="Times New Roman" w:hAnsi="Times New Roman"/>
          <w:bCs/>
          <w:sz w:val="18"/>
          <w:szCs w:val="18"/>
        </w:rPr>
        <w:t>), p</w:t>
      </w:r>
      <w:r w:rsidRPr="005C6F2B">
        <w:rPr>
          <w:rFonts w:ascii="Times New Roman" w:hAnsi="Times New Roman"/>
          <w:bCs/>
          <w:sz w:val="18"/>
          <w:szCs w:val="18"/>
        </w:rPr>
        <w:t>. 471.</w:t>
      </w:r>
      <w:r>
        <w:rPr>
          <w:rFonts w:ascii="Times New Roman" w:hAnsi="Times New Roman"/>
          <w:bCs/>
          <w:sz w:val="18"/>
          <w:szCs w:val="18"/>
        </w:rPr>
        <w:t xml:space="preserve"> Disponible en: </w:t>
      </w:r>
      <w:hyperlink r:id="rId5" w:history="1">
        <w:r w:rsidRPr="00B56B7A">
          <w:rPr>
            <w:rStyle w:val="Hipervnculo"/>
            <w:rFonts w:ascii="Times New Roman" w:hAnsi="Times New Roman"/>
            <w:bCs/>
            <w:sz w:val="18"/>
            <w:szCs w:val="18"/>
          </w:rPr>
          <w:t>https://compite.com.co/wp-content/uploads/INC_COMPLETO_PAG-INDIVIDUAL.pdf</w:t>
        </w:r>
      </w:hyperlink>
      <w:r>
        <w:rPr>
          <w:rFonts w:ascii="Times New Roman" w:hAnsi="Times New Roman"/>
          <w:bCs/>
          <w:sz w:val="18"/>
          <w:szCs w:val="18"/>
        </w:rPr>
        <w:t xml:space="preserve"> </w:t>
      </w:r>
    </w:p>
  </w:footnote>
  <w:footnote w:id="7">
    <w:p w14:paraId="6FEB20E6" w14:textId="06AC634B" w:rsidR="00476E03" w:rsidRPr="00B9280D" w:rsidRDefault="00476E03">
      <w:pPr>
        <w:pStyle w:val="Textonotapie"/>
        <w:rPr>
          <w:lang w:val="es-CO"/>
        </w:rPr>
      </w:pPr>
      <w:r>
        <w:rPr>
          <w:rStyle w:val="Refdenotaalpie"/>
        </w:rPr>
        <w:footnoteRef/>
      </w:r>
      <w:r>
        <w:t xml:space="preserve"> </w:t>
      </w:r>
      <w:r w:rsidRPr="00DF414A">
        <w:rPr>
          <w:rFonts w:ascii="Times New Roman" w:hAnsi="Times New Roman"/>
          <w:sz w:val="18"/>
          <w:szCs w:val="18"/>
        </w:rPr>
        <w:t>ColCapital. (202</w:t>
      </w:r>
      <w:r>
        <w:rPr>
          <w:rFonts w:ascii="Times New Roman" w:hAnsi="Times New Roman"/>
          <w:sz w:val="18"/>
          <w:szCs w:val="18"/>
        </w:rPr>
        <w:t>5</w:t>
      </w:r>
      <w:r w:rsidRPr="00DF414A">
        <w:rPr>
          <w:rFonts w:ascii="Times New Roman" w:hAnsi="Times New Roman"/>
          <w:sz w:val="18"/>
          <w:szCs w:val="18"/>
        </w:rPr>
        <w:t>)</w:t>
      </w:r>
      <w:r>
        <w:rPr>
          <w:rFonts w:ascii="Times New Roman" w:hAnsi="Times New Roman"/>
          <w:sz w:val="18"/>
          <w:szCs w:val="18"/>
        </w:rPr>
        <w:t>. Ecosistema de Capital Privado y Emprendedor. Reporte 2024-2025</w:t>
      </w:r>
      <w:r w:rsidRPr="00DF1F2C">
        <w:rPr>
          <w:rFonts w:ascii="Times New Roman" w:hAnsi="Times New Roman"/>
          <w:sz w:val="18"/>
          <w:szCs w:val="18"/>
        </w:rPr>
        <w:t>.</w:t>
      </w:r>
      <w:r>
        <w:rPr>
          <w:rFonts w:ascii="Times New Roman" w:hAnsi="Times New Roman"/>
          <w:sz w:val="18"/>
          <w:szCs w:val="18"/>
        </w:rPr>
        <w:t xml:space="preserve"> Disponible en:</w:t>
      </w:r>
      <w:r w:rsidRPr="00B9280D">
        <w:t xml:space="preserve"> </w:t>
      </w:r>
      <w:hyperlink r:id="rId6" w:history="1">
        <w:r w:rsidRPr="00B56B7A">
          <w:rPr>
            <w:rStyle w:val="Hipervnculo"/>
            <w:rFonts w:ascii="Times New Roman" w:hAnsi="Times New Roman"/>
            <w:sz w:val="18"/>
            <w:szCs w:val="18"/>
          </w:rPr>
          <w:t>https://www.deloitte.com/content/dam/assets-zone4/latam/es/docs/services/financial-advisory/2025/Estudio-de-la-industria-2025.pdf</w:t>
        </w:r>
      </w:hyperlink>
      <w:r>
        <w:rPr>
          <w:rFonts w:ascii="Times New Roman" w:hAnsi="Times New Roman"/>
          <w:sz w:val="18"/>
          <w:szCs w:val="18"/>
        </w:rPr>
        <w:t xml:space="preserve"> </w:t>
      </w:r>
    </w:p>
  </w:footnote>
  <w:footnote w:id="8">
    <w:p w14:paraId="295BBA52" w14:textId="5CB4BE25" w:rsidR="00476E03" w:rsidRPr="00F5225E" w:rsidRDefault="00476E03">
      <w:pPr>
        <w:pStyle w:val="Textonotapie"/>
        <w:rPr>
          <w:rFonts w:ascii="Times New Roman" w:hAnsi="Times New Roman"/>
          <w:bCs/>
          <w:sz w:val="18"/>
          <w:szCs w:val="18"/>
        </w:rPr>
      </w:pPr>
      <w:r>
        <w:rPr>
          <w:rStyle w:val="Refdenotaalpie"/>
        </w:rPr>
        <w:footnoteRef/>
      </w:r>
      <w:r>
        <w:t xml:space="preserve"> </w:t>
      </w:r>
      <w:r>
        <w:rPr>
          <w:rFonts w:ascii="Times New Roman" w:hAnsi="Times New Roman"/>
          <w:bCs/>
          <w:sz w:val="18"/>
          <w:szCs w:val="18"/>
        </w:rPr>
        <w:t xml:space="preserve">Secretaría Distrital de Desarrollo Económico (2025). Hecho en Bogotá. Disponible en: </w:t>
      </w:r>
      <w:hyperlink r:id="rId7" w:history="1">
        <w:r w:rsidRPr="00870B09">
          <w:rPr>
            <w:rStyle w:val="Hipervnculo"/>
            <w:rFonts w:ascii="Times New Roman" w:hAnsi="Times New Roman"/>
            <w:bCs/>
            <w:sz w:val="18"/>
            <w:szCs w:val="18"/>
          </w:rPr>
          <w:t>https://www.sdp.gov.co/sites/default/files/hecho_en_bogota.pdf</w:t>
        </w:r>
      </w:hyperlink>
      <w:r>
        <w:rPr>
          <w:rFonts w:ascii="Times New Roman" w:hAnsi="Times New Roman"/>
          <w:bCs/>
          <w:sz w:val="18"/>
          <w:szCs w:val="18"/>
        </w:rPr>
        <w:t xml:space="preserve"> </w:t>
      </w:r>
    </w:p>
  </w:footnote>
  <w:footnote w:id="9">
    <w:p w14:paraId="2AAE95A6" w14:textId="50D3FA2B" w:rsidR="00476E03" w:rsidRPr="00F5225E" w:rsidRDefault="00476E03">
      <w:pPr>
        <w:pStyle w:val="Textonotapie"/>
      </w:pPr>
      <w:r>
        <w:rPr>
          <w:rStyle w:val="Refdenotaalpie"/>
        </w:rPr>
        <w:footnoteRef/>
      </w:r>
      <w:r>
        <w:rPr>
          <w:rFonts w:ascii="Times New Roman" w:hAnsi="Times New Roman"/>
          <w:bCs/>
          <w:sz w:val="18"/>
          <w:szCs w:val="18"/>
        </w:rPr>
        <w:t xml:space="preserve"> Secretaría Distrital de Desarrollo Económico (2025). Academia Bogotá Productiva. Disponible en: </w:t>
      </w:r>
      <w:hyperlink r:id="rId8" w:history="1">
        <w:r w:rsidRPr="00870B09">
          <w:rPr>
            <w:rStyle w:val="Hipervnculo"/>
            <w:rFonts w:ascii="Times New Roman" w:hAnsi="Times New Roman"/>
            <w:bCs/>
            <w:sz w:val="18"/>
            <w:szCs w:val="18"/>
          </w:rPr>
          <w:t>https://academiabogotaproductiva.gov.co/</w:t>
        </w:r>
      </w:hyperlink>
      <w:r>
        <w:rPr>
          <w:rFonts w:ascii="Times New Roman" w:hAnsi="Times New Roman"/>
          <w:bCs/>
          <w:sz w:val="18"/>
          <w:szCs w:val="18"/>
        </w:rPr>
        <w:t xml:space="preserve"> </w:t>
      </w:r>
    </w:p>
  </w:footnote>
  <w:footnote w:id="10">
    <w:p w14:paraId="4463BAE8" w14:textId="0728DD07" w:rsidR="00476E03" w:rsidRPr="001811CD" w:rsidRDefault="00476E03">
      <w:pPr>
        <w:pStyle w:val="Textonotapie"/>
      </w:pPr>
      <w:r>
        <w:rPr>
          <w:rStyle w:val="Refdenotaalpie"/>
        </w:rPr>
        <w:footnoteRef/>
      </w:r>
      <w:r>
        <w:t xml:space="preserve"> </w:t>
      </w:r>
      <w:r>
        <w:rPr>
          <w:rFonts w:ascii="Times New Roman" w:hAnsi="Times New Roman"/>
          <w:bCs/>
          <w:sz w:val="18"/>
          <w:szCs w:val="18"/>
        </w:rPr>
        <w:t xml:space="preserve">Secretaría Distrital de Desarrollo Económico (2024). Cuadernos de Desarrollo Económico: Serie de evaluaciones para el legado de desarrollo económico distrital. Disponible en: </w:t>
      </w:r>
      <w:hyperlink r:id="rId9" w:history="1">
        <w:r w:rsidRPr="00870B09">
          <w:rPr>
            <w:rStyle w:val="Hipervnculo"/>
            <w:rFonts w:ascii="Times New Roman" w:hAnsi="Times New Roman"/>
            <w:bCs/>
            <w:sz w:val="18"/>
            <w:szCs w:val="18"/>
          </w:rPr>
          <w:t>https://www.sdp.gov.co/sites/default/files/hecho_en_bogota.pdf</w:t>
        </w:r>
      </w:hyperlink>
    </w:p>
  </w:footnote>
  <w:footnote w:id="11">
    <w:p w14:paraId="257C197D" w14:textId="11E6C232" w:rsidR="00476E03" w:rsidRPr="00B5395F" w:rsidRDefault="00476E03">
      <w:pPr>
        <w:pStyle w:val="Textonotapie"/>
      </w:pPr>
      <w:r>
        <w:rPr>
          <w:rStyle w:val="Refdenotaalpie"/>
        </w:rPr>
        <w:footnoteRef/>
      </w:r>
      <w:r>
        <w:t xml:space="preserve"> </w:t>
      </w:r>
      <w:r w:rsidRPr="00B5395F">
        <w:rPr>
          <w:rFonts w:ascii="Times New Roman" w:hAnsi="Times New Roman"/>
          <w:sz w:val="18"/>
          <w:szCs w:val="18"/>
        </w:rPr>
        <w:t>Ibidem</w:t>
      </w:r>
      <w:r>
        <w:rPr>
          <w:rFonts w:ascii="Times New Roman" w:hAnsi="Times New Roman"/>
          <w:sz w:val="18"/>
          <w:szCs w:val="18"/>
        </w:rPr>
        <w:t>, p. 37.</w:t>
      </w:r>
    </w:p>
  </w:footnote>
  <w:footnote w:id="12">
    <w:p w14:paraId="02D35585" w14:textId="1ADDE5D0" w:rsidR="00476E03" w:rsidRPr="00BB6C3D" w:rsidRDefault="00476E03">
      <w:pPr>
        <w:pStyle w:val="Textonotapie"/>
      </w:pPr>
      <w:r>
        <w:rPr>
          <w:rStyle w:val="Refdenotaalpie"/>
        </w:rPr>
        <w:footnoteRef/>
      </w:r>
      <w:r>
        <w:t xml:space="preserve"> </w:t>
      </w:r>
      <w:r>
        <w:rPr>
          <w:rFonts w:ascii="Times New Roman" w:hAnsi="Times New Roman"/>
          <w:bCs/>
          <w:sz w:val="18"/>
          <w:szCs w:val="18"/>
        </w:rPr>
        <w:t xml:space="preserve">Secretaría Distrital de Desarrollo Económico (2024). Cuadernos de Desarrollo Económico: Serie de evaluaciones para el legado de desarrollo económico distrital, p. 40. Disponible en: </w:t>
      </w:r>
      <w:hyperlink r:id="rId10" w:history="1">
        <w:r w:rsidRPr="00870B09">
          <w:rPr>
            <w:rStyle w:val="Hipervnculo"/>
            <w:rFonts w:ascii="Times New Roman" w:hAnsi="Times New Roman"/>
            <w:bCs/>
            <w:sz w:val="18"/>
            <w:szCs w:val="18"/>
          </w:rPr>
          <w:t>https://www.sdp.gov.co/sites/default/files/hecho_en_bogota.pdf</w:t>
        </w:r>
      </w:hyperlink>
    </w:p>
  </w:footnote>
  <w:footnote w:id="13">
    <w:p w14:paraId="18D5E6A9" w14:textId="14122B6F" w:rsidR="00476E03" w:rsidRPr="00C21A97" w:rsidRDefault="00476E03">
      <w:pPr>
        <w:pStyle w:val="Textonotapie"/>
        <w:rPr>
          <w:lang w:val="es-CO"/>
        </w:rPr>
      </w:pPr>
      <w:r>
        <w:rPr>
          <w:rStyle w:val="Refdenotaalpie"/>
        </w:rPr>
        <w:footnoteRef/>
      </w:r>
      <w:r>
        <w:t xml:space="preserve"> </w:t>
      </w:r>
      <w:bookmarkStart w:id="1" w:name="_Hlk207626586"/>
      <w:r>
        <w:rPr>
          <w:rFonts w:ascii="Times New Roman" w:hAnsi="Times New Roman"/>
          <w:bCs/>
          <w:sz w:val="18"/>
          <w:szCs w:val="18"/>
        </w:rPr>
        <w:t xml:space="preserve">Cámara de Comercio de Bogotá. </w:t>
      </w:r>
      <w:r w:rsidRPr="00C21A97">
        <w:rPr>
          <w:rFonts w:ascii="Times New Roman" w:hAnsi="Times New Roman"/>
          <w:bCs/>
          <w:sz w:val="18"/>
          <w:szCs w:val="18"/>
        </w:rPr>
        <w:t xml:space="preserve">Evolución de las empresas creadas </w:t>
      </w:r>
      <w:r>
        <w:rPr>
          <w:rFonts w:ascii="Times New Roman" w:hAnsi="Times New Roman"/>
          <w:bCs/>
          <w:sz w:val="18"/>
          <w:szCs w:val="18"/>
        </w:rPr>
        <w:t xml:space="preserve">y canceladas </w:t>
      </w:r>
      <w:r w:rsidRPr="00C21A97">
        <w:rPr>
          <w:rFonts w:ascii="Times New Roman" w:hAnsi="Times New Roman"/>
          <w:bCs/>
          <w:sz w:val="18"/>
          <w:szCs w:val="18"/>
        </w:rPr>
        <w:t xml:space="preserve">entre 2019 y 2024 para el periodo enero </w:t>
      </w:r>
      <w:r>
        <w:rPr>
          <w:rFonts w:ascii="Times New Roman" w:hAnsi="Times New Roman"/>
          <w:bCs/>
          <w:sz w:val="18"/>
          <w:szCs w:val="18"/>
        </w:rPr>
        <w:t>–</w:t>
      </w:r>
      <w:r w:rsidRPr="00C21A97">
        <w:rPr>
          <w:rFonts w:ascii="Times New Roman" w:hAnsi="Times New Roman"/>
          <w:bCs/>
          <w:sz w:val="18"/>
          <w:szCs w:val="18"/>
        </w:rPr>
        <w:t xml:space="preserve"> diciembre</w:t>
      </w:r>
      <w:r>
        <w:rPr>
          <w:rFonts w:ascii="Times New Roman" w:hAnsi="Times New Roman"/>
          <w:bCs/>
          <w:sz w:val="18"/>
          <w:szCs w:val="18"/>
        </w:rPr>
        <w:t xml:space="preserve">. Disponible en: </w:t>
      </w:r>
      <w:hyperlink r:id="rId11" w:history="1">
        <w:r w:rsidRPr="00B56B7A">
          <w:rPr>
            <w:rStyle w:val="Hipervnculo"/>
            <w:rFonts w:ascii="Times New Roman" w:hAnsi="Times New Roman"/>
            <w:bCs/>
            <w:sz w:val="18"/>
            <w:szCs w:val="18"/>
          </w:rPr>
          <w:t>https://www.ccb.org.co/informacion-especializada/observatorio/dinamica-empresarial/empresas-creadas</w:t>
        </w:r>
      </w:hyperlink>
      <w:r>
        <w:rPr>
          <w:rFonts w:ascii="Times New Roman" w:hAnsi="Times New Roman"/>
          <w:bCs/>
          <w:sz w:val="18"/>
          <w:szCs w:val="18"/>
        </w:rPr>
        <w:t xml:space="preserve"> y </w:t>
      </w:r>
      <w:hyperlink r:id="rId12" w:history="1">
        <w:r w:rsidRPr="00B56B7A">
          <w:rPr>
            <w:rStyle w:val="Hipervnculo"/>
            <w:rFonts w:ascii="Times New Roman" w:hAnsi="Times New Roman"/>
            <w:bCs/>
            <w:sz w:val="18"/>
            <w:szCs w:val="18"/>
          </w:rPr>
          <w:t>https://www.ccb.org.co/informacion-especializada/observatorio/dinamica-empresarial/empresas-canceladas</w:t>
        </w:r>
      </w:hyperlink>
      <w:r>
        <w:rPr>
          <w:rFonts w:ascii="Times New Roman" w:hAnsi="Times New Roman"/>
          <w:bCs/>
          <w:sz w:val="18"/>
          <w:szCs w:val="18"/>
        </w:rPr>
        <w:t xml:space="preserve">. </w:t>
      </w:r>
    </w:p>
    <w:bookmarkEnd w:id="1"/>
  </w:footnote>
  <w:footnote w:id="14">
    <w:p w14:paraId="2A5A08B3" w14:textId="0CE41C71" w:rsidR="00476E03" w:rsidRPr="00B9280D" w:rsidRDefault="00476E03">
      <w:pPr>
        <w:pStyle w:val="Textonotapie"/>
        <w:rPr>
          <w:lang w:val="es-CO"/>
        </w:rPr>
      </w:pPr>
      <w:r>
        <w:rPr>
          <w:rStyle w:val="Refdenotaalpie"/>
        </w:rPr>
        <w:footnoteRef/>
      </w:r>
      <w:r>
        <w:t xml:space="preserve"> </w:t>
      </w:r>
      <w:r w:rsidRPr="00D934C1">
        <w:rPr>
          <w:rFonts w:ascii="Times New Roman" w:hAnsi="Times New Roman"/>
          <w:bCs/>
          <w:sz w:val="18"/>
          <w:szCs w:val="18"/>
        </w:rPr>
        <w:t>Con</w:t>
      </w:r>
      <w:r>
        <w:rPr>
          <w:rFonts w:ascii="Times New Roman" w:hAnsi="Times New Roman"/>
          <w:bCs/>
          <w:sz w:val="18"/>
          <w:szCs w:val="18"/>
        </w:rPr>
        <w:t>sejo Privado de Competitividad (</w:t>
      </w:r>
      <w:r w:rsidRPr="00D934C1">
        <w:rPr>
          <w:rFonts w:ascii="Times New Roman" w:hAnsi="Times New Roman"/>
          <w:bCs/>
          <w:sz w:val="18"/>
          <w:szCs w:val="18"/>
        </w:rPr>
        <w:t>2022</w:t>
      </w:r>
      <w:r>
        <w:rPr>
          <w:rFonts w:ascii="Times New Roman" w:hAnsi="Times New Roman"/>
          <w:bCs/>
          <w:sz w:val="18"/>
          <w:szCs w:val="18"/>
        </w:rPr>
        <w:t>)</w:t>
      </w:r>
      <w:r w:rsidRPr="00D934C1">
        <w:rPr>
          <w:rFonts w:ascii="Times New Roman" w:hAnsi="Times New Roman"/>
          <w:bCs/>
          <w:sz w:val="18"/>
          <w:szCs w:val="18"/>
        </w:rPr>
        <w:t xml:space="preserve">. </w:t>
      </w:r>
      <w:r w:rsidRPr="00D934C1">
        <w:rPr>
          <w:rFonts w:ascii="Times New Roman" w:hAnsi="Times New Roman"/>
          <w:sz w:val="18"/>
          <w:szCs w:val="18"/>
        </w:rPr>
        <w:t>Informe Nacional de Competitividad 2021-2022</w:t>
      </w:r>
      <w:r>
        <w:rPr>
          <w:rFonts w:ascii="Times New Roman" w:hAnsi="Times New Roman"/>
          <w:bCs/>
          <w:sz w:val="18"/>
          <w:szCs w:val="18"/>
        </w:rPr>
        <w:t>, p</w:t>
      </w:r>
      <w:r w:rsidRPr="00D934C1">
        <w:rPr>
          <w:rFonts w:ascii="Times New Roman" w:hAnsi="Times New Roman"/>
          <w:bCs/>
          <w:sz w:val="18"/>
          <w:szCs w:val="18"/>
        </w:rPr>
        <w:t>. 373</w:t>
      </w:r>
      <w:r>
        <w:rPr>
          <w:rFonts w:ascii="Times New Roman" w:hAnsi="Times New Roman"/>
          <w:bCs/>
        </w:rPr>
        <w:t xml:space="preserve">. </w:t>
      </w:r>
    </w:p>
  </w:footnote>
  <w:footnote w:id="15">
    <w:p w14:paraId="5B0C794B" w14:textId="668B6665" w:rsidR="00476E03" w:rsidRPr="00486F72" w:rsidRDefault="00476E03">
      <w:pPr>
        <w:pStyle w:val="Textonotapie"/>
        <w:rPr>
          <w:sz w:val="18"/>
          <w:szCs w:val="18"/>
          <w:lang w:val="es-CO"/>
        </w:rPr>
      </w:pPr>
      <w:r>
        <w:rPr>
          <w:rStyle w:val="Refdenotaalpie"/>
        </w:rPr>
        <w:footnoteRef/>
      </w:r>
      <w:r>
        <w:t xml:space="preserve"> </w:t>
      </w:r>
      <w:r w:rsidRPr="00486F72">
        <w:rPr>
          <w:rFonts w:ascii="Times New Roman" w:hAnsi="Times New Roman"/>
          <w:bCs/>
          <w:sz w:val="18"/>
          <w:szCs w:val="18"/>
        </w:rPr>
        <w:t>Con</w:t>
      </w:r>
      <w:r>
        <w:rPr>
          <w:rFonts w:ascii="Times New Roman" w:hAnsi="Times New Roman"/>
          <w:bCs/>
          <w:sz w:val="18"/>
          <w:szCs w:val="18"/>
        </w:rPr>
        <w:t>sejo Privado de Competitividad (</w:t>
      </w:r>
      <w:r w:rsidRPr="00486F72">
        <w:rPr>
          <w:rFonts w:ascii="Times New Roman" w:hAnsi="Times New Roman"/>
          <w:bCs/>
          <w:sz w:val="18"/>
          <w:szCs w:val="18"/>
        </w:rPr>
        <w:t>2022</w:t>
      </w:r>
      <w:r>
        <w:rPr>
          <w:rFonts w:ascii="Times New Roman" w:hAnsi="Times New Roman"/>
          <w:bCs/>
          <w:sz w:val="18"/>
          <w:szCs w:val="18"/>
        </w:rPr>
        <w:t>)</w:t>
      </w:r>
      <w:r w:rsidRPr="00486F72">
        <w:rPr>
          <w:rFonts w:ascii="Times New Roman" w:hAnsi="Times New Roman"/>
          <w:bCs/>
          <w:sz w:val="18"/>
          <w:szCs w:val="18"/>
        </w:rPr>
        <w:t xml:space="preserve">. </w:t>
      </w:r>
      <w:r w:rsidRPr="00486F72">
        <w:rPr>
          <w:rFonts w:ascii="Times New Roman" w:hAnsi="Times New Roman"/>
          <w:sz w:val="18"/>
          <w:szCs w:val="18"/>
        </w:rPr>
        <w:t>Informe Nacional de Competitividad 2021-2022</w:t>
      </w:r>
      <w:r>
        <w:rPr>
          <w:rFonts w:ascii="Times New Roman" w:hAnsi="Times New Roman"/>
          <w:bCs/>
          <w:sz w:val="18"/>
          <w:szCs w:val="18"/>
        </w:rPr>
        <w:t>, p</w:t>
      </w:r>
      <w:r w:rsidRPr="00486F72">
        <w:rPr>
          <w:rFonts w:ascii="Times New Roman" w:hAnsi="Times New Roman"/>
          <w:bCs/>
          <w:sz w:val="18"/>
          <w:szCs w:val="18"/>
        </w:rPr>
        <w:t>. 374.</w:t>
      </w:r>
      <w:r>
        <w:rPr>
          <w:rFonts w:ascii="Times New Roman" w:hAnsi="Times New Roman"/>
          <w:bCs/>
          <w:sz w:val="18"/>
          <w:szCs w:val="18"/>
        </w:rPr>
        <w:t xml:space="preserve"> </w:t>
      </w:r>
    </w:p>
  </w:footnote>
  <w:footnote w:id="16">
    <w:p w14:paraId="089609EA" w14:textId="42554CF3" w:rsidR="00476E03" w:rsidRPr="00DF1F2C" w:rsidRDefault="00476E03">
      <w:pPr>
        <w:pStyle w:val="Textonotapie"/>
        <w:rPr>
          <w:lang w:val="es-CO"/>
        </w:rPr>
      </w:pPr>
      <w:r>
        <w:rPr>
          <w:rStyle w:val="Refdenotaalpie"/>
        </w:rPr>
        <w:footnoteRef/>
      </w:r>
      <w:r>
        <w:t xml:space="preserve"> </w:t>
      </w:r>
      <w:r>
        <w:rPr>
          <w:rFonts w:ascii="Times New Roman" w:hAnsi="Times New Roman"/>
          <w:sz w:val="18"/>
          <w:szCs w:val="18"/>
        </w:rPr>
        <w:t>iNNpulsa, comunicación personal (2021). Citado por CPC (2022), p</w:t>
      </w:r>
      <w:r w:rsidRPr="000F1A69">
        <w:rPr>
          <w:rFonts w:ascii="Times New Roman" w:hAnsi="Times New Roman"/>
          <w:sz w:val="18"/>
          <w:szCs w:val="18"/>
        </w:rPr>
        <w:t>. 374</w:t>
      </w:r>
      <w:r>
        <w:rPr>
          <w:rFonts w:ascii="Times New Roman" w:hAnsi="Times New Roman"/>
          <w:sz w:val="18"/>
          <w:szCs w:val="18"/>
        </w:rPr>
        <w:t>.</w:t>
      </w:r>
    </w:p>
  </w:footnote>
  <w:footnote w:id="17">
    <w:p w14:paraId="6217D28A" w14:textId="301975DA" w:rsidR="00476E03" w:rsidRPr="0092003E" w:rsidRDefault="00476E03">
      <w:pPr>
        <w:pStyle w:val="Textonotapie"/>
        <w:rPr>
          <w:lang w:val="es-CO"/>
        </w:rPr>
      </w:pPr>
      <w:r>
        <w:rPr>
          <w:rStyle w:val="Refdenotaalpie"/>
        </w:rPr>
        <w:footnoteRef/>
      </w:r>
      <w:r>
        <w:t xml:space="preserve"> </w:t>
      </w:r>
      <w:r w:rsidRPr="00486F72">
        <w:rPr>
          <w:rFonts w:ascii="Times New Roman" w:hAnsi="Times New Roman"/>
          <w:bCs/>
          <w:sz w:val="18"/>
          <w:szCs w:val="18"/>
        </w:rPr>
        <w:t>C</w:t>
      </w:r>
      <w:r>
        <w:rPr>
          <w:rFonts w:ascii="Times New Roman" w:hAnsi="Times New Roman"/>
          <w:bCs/>
          <w:sz w:val="18"/>
          <w:szCs w:val="18"/>
        </w:rPr>
        <w:t xml:space="preserve">ámara de Comercio de Bogotá. </w:t>
      </w:r>
      <w:r w:rsidRPr="0092003E">
        <w:rPr>
          <w:rFonts w:ascii="Times New Roman" w:hAnsi="Times New Roman"/>
          <w:bCs/>
          <w:sz w:val="18"/>
          <w:szCs w:val="18"/>
        </w:rPr>
        <w:t>Red de inversionistas</w:t>
      </w:r>
      <w:r>
        <w:rPr>
          <w:rFonts w:ascii="Times New Roman" w:hAnsi="Times New Roman"/>
          <w:bCs/>
          <w:sz w:val="18"/>
          <w:szCs w:val="18"/>
        </w:rPr>
        <w:t>. Disponible en:</w:t>
      </w:r>
      <w:r w:rsidRPr="0092003E">
        <w:t xml:space="preserve"> </w:t>
      </w:r>
      <w:hyperlink r:id="rId13" w:history="1">
        <w:r w:rsidRPr="00B56B7A">
          <w:rPr>
            <w:rStyle w:val="Hipervnculo"/>
            <w:rFonts w:ascii="Times New Roman" w:hAnsi="Times New Roman"/>
            <w:bCs/>
            <w:sz w:val="18"/>
            <w:szCs w:val="18"/>
          </w:rPr>
          <w:t>https://www.ccb.org.co/servicios/haz-crecer-tu-empresa/innovacion-empresarial/networking-y-red-de-inversionistas</w:t>
        </w:r>
      </w:hyperlink>
      <w:r>
        <w:rPr>
          <w:rFonts w:ascii="Times New Roman" w:hAnsi="Times New Roman"/>
          <w:bCs/>
          <w:sz w:val="18"/>
          <w:szCs w:val="18"/>
        </w:rPr>
        <w:t xml:space="preserve"> </w:t>
      </w:r>
    </w:p>
  </w:footnote>
  <w:footnote w:id="18">
    <w:p w14:paraId="7F071D69" w14:textId="77777777" w:rsidR="00476E03" w:rsidRPr="00DF1F2C" w:rsidRDefault="00476E03">
      <w:pPr>
        <w:pStyle w:val="Textonotapie"/>
        <w:rPr>
          <w:lang w:val="es-CO"/>
        </w:rPr>
      </w:pPr>
      <w:r>
        <w:rPr>
          <w:rStyle w:val="Refdenotaalpie"/>
        </w:rPr>
        <w:footnoteRef/>
      </w:r>
      <w:r>
        <w:t xml:space="preserve"> </w:t>
      </w:r>
      <w:r w:rsidRPr="00486F72">
        <w:rPr>
          <w:rFonts w:ascii="Times New Roman" w:hAnsi="Times New Roman"/>
          <w:bCs/>
          <w:sz w:val="18"/>
          <w:szCs w:val="18"/>
        </w:rPr>
        <w:t>Rockst</w:t>
      </w:r>
      <w:r>
        <w:rPr>
          <w:rFonts w:ascii="Times New Roman" w:hAnsi="Times New Roman"/>
          <w:bCs/>
          <w:sz w:val="18"/>
          <w:szCs w:val="18"/>
        </w:rPr>
        <w:t>art (2020). Citado por CPC, (2022), p</w:t>
      </w:r>
      <w:r w:rsidRPr="00486F72">
        <w:rPr>
          <w:rFonts w:ascii="Times New Roman" w:hAnsi="Times New Roman"/>
          <w:bCs/>
          <w:sz w:val="18"/>
          <w:szCs w:val="18"/>
        </w:rPr>
        <w:t>. 374.</w:t>
      </w:r>
    </w:p>
  </w:footnote>
  <w:footnote w:id="19">
    <w:p w14:paraId="4F004951" w14:textId="77777777" w:rsidR="00476E03" w:rsidRPr="000F1A69" w:rsidRDefault="00476E03">
      <w:pPr>
        <w:pStyle w:val="Textonotapie"/>
        <w:rPr>
          <w:lang w:val="es-CO"/>
        </w:rPr>
      </w:pPr>
      <w:r>
        <w:rPr>
          <w:rStyle w:val="Refdenotaalpie"/>
        </w:rPr>
        <w:footnoteRef/>
      </w:r>
      <w:r>
        <w:t xml:space="preserve"> </w:t>
      </w:r>
      <w:r w:rsidRPr="00486F72">
        <w:rPr>
          <w:rFonts w:ascii="Times New Roman" w:hAnsi="Times New Roman"/>
          <w:bCs/>
          <w:sz w:val="18"/>
          <w:szCs w:val="18"/>
        </w:rPr>
        <w:t>Con</w:t>
      </w:r>
      <w:r>
        <w:rPr>
          <w:rFonts w:ascii="Times New Roman" w:hAnsi="Times New Roman"/>
          <w:bCs/>
          <w:sz w:val="18"/>
          <w:szCs w:val="18"/>
        </w:rPr>
        <w:t>sejo Privado de Competitividad</w:t>
      </w:r>
      <w:r w:rsidRPr="00486F72">
        <w:rPr>
          <w:rFonts w:ascii="Times New Roman" w:hAnsi="Times New Roman"/>
          <w:bCs/>
          <w:sz w:val="18"/>
          <w:szCs w:val="18"/>
        </w:rPr>
        <w:t xml:space="preserve"> </w:t>
      </w:r>
      <w:r>
        <w:rPr>
          <w:rFonts w:ascii="Times New Roman" w:hAnsi="Times New Roman"/>
          <w:bCs/>
          <w:sz w:val="18"/>
          <w:szCs w:val="18"/>
        </w:rPr>
        <w:t>(</w:t>
      </w:r>
      <w:r w:rsidRPr="00486F72">
        <w:rPr>
          <w:rFonts w:ascii="Times New Roman" w:hAnsi="Times New Roman"/>
          <w:bCs/>
          <w:sz w:val="18"/>
          <w:szCs w:val="18"/>
        </w:rPr>
        <w:t>2022</w:t>
      </w:r>
      <w:r>
        <w:rPr>
          <w:rFonts w:ascii="Times New Roman" w:hAnsi="Times New Roman"/>
          <w:bCs/>
          <w:sz w:val="18"/>
          <w:szCs w:val="18"/>
        </w:rPr>
        <w:t>)</w:t>
      </w:r>
      <w:r w:rsidRPr="00486F72">
        <w:rPr>
          <w:rFonts w:ascii="Times New Roman" w:hAnsi="Times New Roman"/>
          <w:bCs/>
          <w:sz w:val="18"/>
          <w:szCs w:val="18"/>
        </w:rPr>
        <w:t xml:space="preserve">. </w:t>
      </w:r>
      <w:r w:rsidRPr="00486F72">
        <w:rPr>
          <w:rFonts w:ascii="Times New Roman" w:hAnsi="Times New Roman"/>
          <w:sz w:val="18"/>
          <w:szCs w:val="18"/>
        </w:rPr>
        <w:t>Informe Nacional de Competitividad 2021-2022</w:t>
      </w:r>
      <w:r>
        <w:rPr>
          <w:rFonts w:ascii="Times New Roman" w:hAnsi="Times New Roman"/>
          <w:bCs/>
          <w:sz w:val="18"/>
          <w:szCs w:val="18"/>
        </w:rPr>
        <w:t>, p</w:t>
      </w:r>
      <w:r w:rsidRPr="00486F72">
        <w:rPr>
          <w:rFonts w:ascii="Times New Roman" w:hAnsi="Times New Roman"/>
          <w:bCs/>
          <w:sz w:val="18"/>
          <w:szCs w:val="18"/>
        </w:rPr>
        <w:t>. 378.</w:t>
      </w:r>
    </w:p>
  </w:footnote>
  <w:footnote w:id="20">
    <w:p w14:paraId="59099226" w14:textId="77777777" w:rsidR="00476E03" w:rsidRPr="000F1A69" w:rsidRDefault="00476E03">
      <w:pPr>
        <w:pStyle w:val="Textonotapie"/>
        <w:rPr>
          <w:lang w:val="es-CO"/>
        </w:rPr>
      </w:pPr>
      <w:r>
        <w:rPr>
          <w:rStyle w:val="Refdenotaalpie"/>
        </w:rPr>
        <w:footnoteRef/>
      </w:r>
      <w:r>
        <w:t xml:space="preserve"> </w:t>
      </w:r>
      <w:r w:rsidRPr="000F1A69">
        <w:rPr>
          <w:rFonts w:ascii="Times New Roman" w:hAnsi="Times New Roman"/>
          <w:sz w:val="18"/>
          <w:szCs w:val="18"/>
          <w:lang w:val="es-CO"/>
        </w:rPr>
        <w:t>Ibidem.</w:t>
      </w:r>
    </w:p>
  </w:footnote>
  <w:footnote w:id="21">
    <w:p w14:paraId="099A2195" w14:textId="19EC72CE" w:rsidR="00476E03" w:rsidRPr="00312AFA" w:rsidRDefault="00476E03">
      <w:pPr>
        <w:pStyle w:val="Textonotapie"/>
        <w:rPr>
          <w:lang w:val="es-CO"/>
        </w:rPr>
      </w:pPr>
      <w:r>
        <w:rPr>
          <w:rStyle w:val="Refdenotaalpie"/>
        </w:rPr>
        <w:footnoteRef/>
      </w:r>
      <w:r>
        <w:t xml:space="preserve"> </w:t>
      </w:r>
      <w:r w:rsidRPr="005C6F2B">
        <w:rPr>
          <w:rFonts w:ascii="Times New Roman" w:hAnsi="Times New Roman"/>
          <w:bCs/>
          <w:sz w:val="18"/>
          <w:szCs w:val="18"/>
        </w:rPr>
        <w:t>ColCapital (202</w:t>
      </w:r>
      <w:r>
        <w:rPr>
          <w:rFonts w:ascii="Times New Roman" w:hAnsi="Times New Roman"/>
          <w:bCs/>
          <w:sz w:val="18"/>
          <w:szCs w:val="18"/>
        </w:rPr>
        <w:t>5</w:t>
      </w:r>
      <w:r w:rsidRPr="005C6F2B">
        <w:rPr>
          <w:rFonts w:ascii="Times New Roman" w:hAnsi="Times New Roman"/>
          <w:bCs/>
          <w:sz w:val="18"/>
          <w:szCs w:val="18"/>
        </w:rPr>
        <w:t>). Industria de Capital Privado en Colombia. Reporte 202</w:t>
      </w:r>
      <w:r>
        <w:rPr>
          <w:rFonts w:ascii="Times New Roman" w:hAnsi="Times New Roman"/>
          <w:bCs/>
          <w:sz w:val="18"/>
          <w:szCs w:val="18"/>
        </w:rPr>
        <w:t>4</w:t>
      </w:r>
      <w:r w:rsidRPr="005C6F2B">
        <w:rPr>
          <w:rFonts w:ascii="Times New Roman" w:hAnsi="Times New Roman"/>
          <w:bCs/>
          <w:sz w:val="18"/>
          <w:szCs w:val="18"/>
        </w:rPr>
        <w:t>-202</w:t>
      </w:r>
      <w:r>
        <w:rPr>
          <w:rFonts w:ascii="Times New Roman" w:hAnsi="Times New Roman"/>
          <w:bCs/>
          <w:sz w:val="18"/>
          <w:szCs w:val="18"/>
        </w:rPr>
        <w:t>5</w:t>
      </w:r>
      <w:r w:rsidRPr="005C6F2B">
        <w:rPr>
          <w:rFonts w:ascii="Times New Roman" w:hAnsi="Times New Roman"/>
          <w:bCs/>
          <w:sz w:val="18"/>
          <w:szCs w:val="18"/>
        </w:rPr>
        <w:t>.</w:t>
      </w:r>
      <w:r>
        <w:rPr>
          <w:rFonts w:ascii="Times New Roman" w:hAnsi="Times New Roman"/>
          <w:bCs/>
          <w:sz w:val="18"/>
          <w:szCs w:val="18"/>
        </w:rPr>
        <w:t xml:space="preserve"> Disponible en:</w:t>
      </w:r>
      <w:r w:rsidRPr="00312AFA">
        <w:t xml:space="preserve"> </w:t>
      </w:r>
      <w:hyperlink r:id="rId14" w:history="1">
        <w:r w:rsidRPr="00B56B7A">
          <w:rPr>
            <w:rStyle w:val="Hipervnculo"/>
            <w:rFonts w:ascii="Times New Roman" w:hAnsi="Times New Roman"/>
            <w:bCs/>
            <w:sz w:val="18"/>
            <w:szCs w:val="18"/>
          </w:rPr>
          <w:t>https://www.deloitte.com/content/dam/assets-zone4/latam/es/docs/services/financial-advisory/2025/Estudio-de-la-industria-2025.pdf</w:t>
        </w:r>
      </w:hyperlink>
      <w:r>
        <w:rPr>
          <w:rFonts w:ascii="Times New Roman" w:hAnsi="Times New Roman"/>
          <w:bCs/>
          <w:sz w:val="18"/>
          <w:szCs w:val="18"/>
        </w:rPr>
        <w:t xml:space="preserve"> </w:t>
      </w:r>
    </w:p>
  </w:footnote>
  <w:footnote w:id="22">
    <w:p w14:paraId="6DB9A0A7" w14:textId="502A8FCB" w:rsidR="00476E03" w:rsidRPr="00470E60" w:rsidRDefault="00476E03">
      <w:pPr>
        <w:pStyle w:val="Textonotapie"/>
        <w:rPr>
          <w:lang w:val="es-CO"/>
        </w:rPr>
      </w:pPr>
      <w:r>
        <w:rPr>
          <w:rStyle w:val="Refdenotaalpie"/>
        </w:rPr>
        <w:footnoteRef/>
      </w:r>
      <w:r>
        <w:t xml:space="preserve"> </w:t>
      </w:r>
      <w:r w:rsidRPr="000F1A69">
        <w:rPr>
          <w:rFonts w:ascii="Times New Roman" w:hAnsi="Times New Roman"/>
          <w:sz w:val="18"/>
          <w:szCs w:val="18"/>
          <w:lang w:val="es-CO"/>
        </w:rPr>
        <w:t>Ibidem</w:t>
      </w:r>
      <w:r>
        <w:rPr>
          <w:rFonts w:ascii="Times New Roman" w:hAnsi="Times New Roman"/>
          <w:sz w:val="18"/>
          <w:szCs w:val="18"/>
          <w:lang w:val="es-CO"/>
        </w:rPr>
        <w:t>.</w:t>
      </w:r>
    </w:p>
  </w:footnote>
  <w:footnote w:id="23">
    <w:p w14:paraId="5F38A0F5" w14:textId="30A5561E" w:rsidR="00476E03" w:rsidRPr="000F1A69" w:rsidRDefault="00476E03">
      <w:pPr>
        <w:pStyle w:val="Textonotapie"/>
        <w:rPr>
          <w:lang w:val="es-CO"/>
        </w:rPr>
      </w:pPr>
      <w:r>
        <w:rPr>
          <w:rStyle w:val="Refdenotaalpie"/>
        </w:rPr>
        <w:footnoteRef/>
      </w:r>
      <w:r>
        <w:t xml:space="preserve"> </w:t>
      </w:r>
      <w:r w:rsidRPr="00486F72">
        <w:rPr>
          <w:rFonts w:ascii="Times New Roman" w:hAnsi="Times New Roman"/>
          <w:bCs/>
          <w:sz w:val="18"/>
          <w:szCs w:val="18"/>
        </w:rPr>
        <w:t>Con</w:t>
      </w:r>
      <w:r>
        <w:rPr>
          <w:rFonts w:ascii="Times New Roman" w:hAnsi="Times New Roman"/>
          <w:bCs/>
          <w:sz w:val="18"/>
          <w:szCs w:val="18"/>
        </w:rPr>
        <w:t>sejo Privado de Competitividad</w:t>
      </w:r>
      <w:r w:rsidRPr="00486F72">
        <w:rPr>
          <w:rFonts w:ascii="Times New Roman" w:hAnsi="Times New Roman"/>
          <w:bCs/>
          <w:sz w:val="18"/>
          <w:szCs w:val="18"/>
        </w:rPr>
        <w:t xml:space="preserve"> </w:t>
      </w:r>
      <w:r>
        <w:rPr>
          <w:rFonts w:ascii="Times New Roman" w:hAnsi="Times New Roman"/>
          <w:bCs/>
          <w:sz w:val="18"/>
          <w:szCs w:val="18"/>
        </w:rPr>
        <w:t>(</w:t>
      </w:r>
      <w:r w:rsidRPr="00486F72">
        <w:rPr>
          <w:rFonts w:ascii="Times New Roman" w:hAnsi="Times New Roman"/>
          <w:bCs/>
          <w:sz w:val="18"/>
          <w:szCs w:val="18"/>
        </w:rPr>
        <w:t>2022</w:t>
      </w:r>
      <w:r>
        <w:rPr>
          <w:rFonts w:ascii="Times New Roman" w:hAnsi="Times New Roman"/>
          <w:bCs/>
          <w:sz w:val="18"/>
          <w:szCs w:val="18"/>
        </w:rPr>
        <w:t>)</w:t>
      </w:r>
      <w:r w:rsidRPr="00486F72">
        <w:rPr>
          <w:rFonts w:ascii="Times New Roman" w:hAnsi="Times New Roman"/>
          <w:bCs/>
          <w:sz w:val="18"/>
          <w:szCs w:val="18"/>
        </w:rPr>
        <w:t xml:space="preserve">. </w:t>
      </w:r>
      <w:r w:rsidRPr="00486F72">
        <w:rPr>
          <w:rFonts w:ascii="Times New Roman" w:hAnsi="Times New Roman"/>
          <w:sz w:val="18"/>
          <w:szCs w:val="18"/>
        </w:rPr>
        <w:t>Informe Nacional de Competitividad 2021-2022</w:t>
      </w:r>
      <w:r>
        <w:rPr>
          <w:rFonts w:ascii="Times New Roman" w:hAnsi="Times New Roman"/>
          <w:bCs/>
          <w:sz w:val="18"/>
          <w:szCs w:val="18"/>
        </w:rPr>
        <w:t>, p</w:t>
      </w:r>
      <w:r w:rsidRPr="00486F72">
        <w:rPr>
          <w:rFonts w:ascii="Times New Roman" w:hAnsi="Times New Roman"/>
          <w:bCs/>
          <w:sz w:val="18"/>
          <w:szCs w:val="18"/>
        </w:rPr>
        <w:t>. 378.</w:t>
      </w:r>
    </w:p>
  </w:footnote>
  <w:footnote w:id="24">
    <w:p w14:paraId="1A83B916" w14:textId="77777777" w:rsidR="00476E03" w:rsidRPr="000F1A69" w:rsidRDefault="00476E03">
      <w:pPr>
        <w:pStyle w:val="Textonotapie"/>
        <w:rPr>
          <w:lang w:val="es-CO"/>
        </w:rPr>
      </w:pPr>
      <w:r>
        <w:rPr>
          <w:rStyle w:val="Refdenotaalpie"/>
        </w:rPr>
        <w:footnoteRef/>
      </w:r>
      <w:r>
        <w:t xml:space="preserve"> </w:t>
      </w:r>
      <w:r>
        <w:rPr>
          <w:rFonts w:ascii="Times New Roman" w:hAnsi="Times New Roman"/>
          <w:bCs/>
          <w:sz w:val="18"/>
          <w:szCs w:val="18"/>
        </w:rPr>
        <w:t>ColCapital</w:t>
      </w:r>
      <w:r w:rsidRPr="000F1A69">
        <w:rPr>
          <w:rFonts w:ascii="Times New Roman" w:hAnsi="Times New Roman"/>
          <w:bCs/>
          <w:sz w:val="18"/>
          <w:szCs w:val="18"/>
        </w:rPr>
        <w:t xml:space="preserve"> </w:t>
      </w:r>
      <w:r>
        <w:rPr>
          <w:rFonts w:ascii="Times New Roman" w:hAnsi="Times New Roman"/>
          <w:bCs/>
          <w:sz w:val="18"/>
          <w:szCs w:val="18"/>
        </w:rPr>
        <w:t>(</w:t>
      </w:r>
      <w:r w:rsidRPr="000F1A69">
        <w:rPr>
          <w:rFonts w:ascii="Times New Roman" w:hAnsi="Times New Roman"/>
          <w:bCs/>
          <w:sz w:val="18"/>
          <w:szCs w:val="18"/>
        </w:rPr>
        <w:t>2021</w:t>
      </w:r>
      <w:r>
        <w:rPr>
          <w:rFonts w:ascii="Times New Roman" w:hAnsi="Times New Roman"/>
          <w:bCs/>
          <w:sz w:val="18"/>
          <w:szCs w:val="18"/>
        </w:rPr>
        <w:t>). Citado por CPC</w:t>
      </w:r>
      <w:r w:rsidRPr="000F1A69">
        <w:rPr>
          <w:rFonts w:ascii="Times New Roman" w:hAnsi="Times New Roman"/>
          <w:bCs/>
          <w:sz w:val="18"/>
          <w:szCs w:val="18"/>
        </w:rPr>
        <w:t xml:space="preserve"> </w:t>
      </w:r>
      <w:r>
        <w:rPr>
          <w:rFonts w:ascii="Times New Roman" w:hAnsi="Times New Roman"/>
          <w:bCs/>
          <w:sz w:val="18"/>
          <w:szCs w:val="18"/>
        </w:rPr>
        <w:t>(2022), p</w:t>
      </w:r>
      <w:r w:rsidRPr="000F1A69">
        <w:rPr>
          <w:rFonts w:ascii="Times New Roman" w:hAnsi="Times New Roman"/>
          <w:bCs/>
          <w:sz w:val="18"/>
          <w:szCs w:val="18"/>
        </w:rPr>
        <w:t>. 378.</w:t>
      </w:r>
    </w:p>
  </w:footnote>
  <w:footnote w:id="25">
    <w:p w14:paraId="4A6051EA" w14:textId="77777777" w:rsidR="00476E03" w:rsidRPr="000F1A69" w:rsidRDefault="00476E03">
      <w:pPr>
        <w:pStyle w:val="Textonotapie"/>
        <w:rPr>
          <w:lang w:val="es-CO"/>
        </w:rPr>
      </w:pPr>
      <w:r>
        <w:rPr>
          <w:rStyle w:val="Refdenotaalpie"/>
        </w:rPr>
        <w:footnoteRef/>
      </w:r>
      <w:r>
        <w:t xml:space="preserve"> </w:t>
      </w:r>
      <w:r w:rsidRPr="000F1A69">
        <w:rPr>
          <w:rFonts w:ascii="Times New Roman" w:hAnsi="Times New Roman"/>
          <w:bCs/>
          <w:sz w:val="18"/>
          <w:szCs w:val="18"/>
        </w:rPr>
        <w:t>Co</w:t>
      </w:r>
      <w:r>
        <w:rPr>
          <w:rFonts w:ascii="Times New Roman" w:hAnsi="Times New Roman"/>
          <w:bCs/>
          <w:sz w:val="18"/>
          <w:szCs w:val="18"/>
        </w:rPr>
        <w:t>nsejo Privado de Competitividad</w:t>
      </w:r>
      <w:r w:rsidRPr="000F1A69">
        <w:rPr>
          <w:rFonts w:ascii="Times New Roman" w:hAnsi="Times New Roman"/>
          <w:bCs/>
          <w:sz w:val="18"/>
          <w:szCs w:val="18"/>
        </w:rPr>
        <w:t xml:space="preserve"> </w:t>
      </w:r>
      <w:r>
        <w:rPr>
          <w:rFonts w:ascii="Times New Roman" w:hAnsi="Times New Roman"/>
          <w:bCs/>
          <w:sz w:val="18"/>
          <w:szCs w:val="18"/>
        </w:rPr>
        <w:t>(</w:t>
      </w:r>
      <w:r w:rsidRPr="000F1A69">
        <w:rPr>
          <w:rFonts w:ascii="Times New Roman" w:hAnsi="Times New Roman"/>
          <w:bCs/>
          <w:sz w:val="18"/>
          <w:szCs w:val="18"/>
        </w:rPr>
        <w:t>2022</w:t>
      </w:r>
      <w:r>
        <w:rPr>
          <w:rFonts w:ascii="Times New Roman" w:hAnsi="Times New Roman"/>
          <w:bCs/>
          <w:sz w:val="18"/>
          <w:szCs w:val="18"/>
        </w:rPr>
        <w:t>)</w:t>
      </w:r>
      <w:r w:rsidRPr="000F1A69">
        <w:rPr>
          <w:rFonts w:ascii="Times New Roman" w:hAnsi="Times New Roman"/>
          <w:bCs/>
          <w:sz w:val="18"/>
          <w:szCs w:val="18"/>
        </w:rPr>
        <w:t xml:space="preserve">. </w:t>
      </w:r>
      <w:r w:rsidRPr="000F1A69">
        <w:rPr>
          <w:rFonts w:ascii="Times New Roman" w:hAnsi="Times New Roman"/>
          <w:sz w:val="18"/>
          <w:szCs w:val="18"/>
        </w:rPr>
        <w:t>Informe Nacional de Competitividad 2021-2022</w:t>
      </w:r>
      <w:r>
        <w:rPr>
          <w:rFonts w:ascii="Times New Roman" w:hAnsi="Times New Roman"/>
          <w:bCs/>
          <w:sz w:val="18"/>
          <w:szCs w:val="18"/>
        </w:rPr>
        <w:t>, p</w:t>
      </w:r>
      <w:r w:rsidRPr="000F1A69">
        <w:rPr>
          <w:rFonts w:ascii="Times New Roman" w:hAnsi="Times New Roman"/>
          <w:bCs/>
          <w:sz w:val="18"/>
          <w:szCs w:val="18"/>
        </w:rPr>
        <w:t>. 379.</w:t>
      </w:r>
    </w:p>
  </w:footnote>
  <w:footnote w:id="26">
    <w:p w14:paraId="6C335E70" w14:textId="77777777" w:rsidR="00476E03" w:rsidRPr="000F1A69" w:rsidRDefault="00476E03">
      <w:pPr>
        <w:pStyle w:val="Textonotapie"/>
        <w:rPr>
          <w:lang w:val="es-CO"/>
        </w:rPr>
      </w:pPr>
      <w:r>
        <w:rPr>
          <w:rStyle w:val="Refdenotaalpie"/>
        </w:rPr>
        <w:footnoteRef/>
      </w:r>
      <w:r>
        <w:t xml:space="preserve"> </w:t>
      </w:r>
      <w:r w:rsidRPr="000F1A69">
        <w:rPr>
          <w:rFonts w:ascii="Times New Roman" w:hAnsi="Times New Roman"/>
          <w:bCs/>
          <w:sz w:val="18"/>
          <w:szCs w:val="18"/>
        </w:rPr>
        <w:t>Co</w:t>
      </w:r>
      <w:r>
        <w:rPr>
          <w:rFonts w:ascii="Times New Roman" w:hAnsi="Times New Roman"/>
          <w:bCs/>
          <w:sz w:val="18"/>
          <w:szCs w:val="18"/>
        </w:rPr>
        <w:t>nsejo Privado de Competitividad</w:t>
      </w:r>
      <w:r w:rsidRPr="000F1A69">
        <w:rPr>
          <w:rFonts w:ascii="Times New Roman" w:hAnsi="Times New Roman"/>
          <w:bCs/>
          <w:sz w:val="18"/>
          <w:szCs w:val="18"/>
        </w:rPr>
        <w:t xml:space="preserve"> </w:t>
      </w:r>
      <w:r>
        <w:rPr>
          <w:rFonts w:ascii="Times New Roman" w:hAnsi="Times New Roman"/>
          <w:bCs/>
          <w:sz w:val="18"/>
          <w:szCs w:val="18"/>
        </w:rPr>
        <w:t>(</w:t>
      </w:r>
      <w:r w:rsidRPr="000F1A69">
        <w:rPr>
          <w:rFonts w:ascii="Times New Roman" w:hAnsi="Times New Roman"/>
          <w:bCs/>
          <w:sz w:val="18"/>
          <w:szCs w:val="18"/>
        </w:rPr>
        <w:t>2022</w:t>
      </w:r>
      <w:r>
        <w:rPr>
          <w:rFonts w:ascii="Times New Roman" w:hAnsi="Times New Roman"/>
          <w:bCs/>
          <w:sz w:val="18"/>
          <w:szCs w:val="18"/>
        </w:rPr>
        <w:t>)</w:t>
      </w:r>
      <w:r w:rsidRPr="000F1A69">
        <w:rPr>
          <w:rFonts w:ascii="Times New Roman" w:hAnsi="Times New Roman"/>
          <w:bCs/>
          <w:sz w:val="18"/>
          <w:szCs w:val="18"/>
        </w:rPr>
        <w:t xml:space="preserve">. </w:t>
      </w:r>
      <w:r w:rsidRPr="000F1A69">
        <w:rPr>
          <w:rFonts w:ascii="Times New Roman" w:hAnsi="Times New Roman"/>
          <w:sz w:val="18"/>
          <w:szCs w:val="18"/>
        </w:rPr>
        <w:t>Informe Nacional de Competitividad 2021-2022</w:t>
      </w:r>
      <w:r w:rsidRPr="000F1A69">
        <w:rPr>
          <w:rFonts w:ascii="Times New Roman" w:hAnsi="Times New Roman"/>
          <w:bCs/>
          <w:sz w:val="18"/>
          <w:szCs w:val="18"/>
        </w:rPr>
        <w:t>,</w:t>
      </w:r>
      <w:r>
        <w:rPr>
          <w:rFonts w:ascii="Times New Roman" w:hAnsi="Times New Roman"/>
          <w:bCs/>
          <w:sz w:val="18"/>
          <w:szCs w:val="18"/>
        </w:rPr>
        <w:t xml:space="preserve"> p. 383</w:t>
      </w:r>
      <w:r w:rsidRPr="000F1A69">
        <w:rPr>
          <w:rFonts w:ascii="Times New Roman" w:hAnsi="Times New Roman"/>
          <w:bCs/>
          <w:sz w:val="18"/>
          <w:szCs w:val="18"/>
        </w:rPr>
        <w:t>.</w:t>
      </w:r>
    </w:p>
  </w:footnote>
  <w:footnote w:id="27">
    <w:p w14:paraId="09BAE620" w14:textId="77777777" w:rsidR="00476E03" w:rsidRPr="000F1A69" w:rsidRDefault="00476E03">
      <w:pPr>
        <w:pStyle w:val="Textonotapie"/>
        <w:rPr>
          <w:lang w:val="es-CO"/>
        </w:rPr>
      </w:pPr>
      <w:r>
        <w:rPr>
          <w:rStyle w:val="Refdenotaalpie"/>
        </w:rPr>
        <w:footnoteRef/>
      </w:r>
      <w:r>
        <w:t xml:space="preserve"> </w:t>
      </w:r>
      <w:r w:rsidRPr="00C90E1C">
        <w:rPr>
          <w:rFonts w:ascii="Times New Roman" w:hAnsi="Times New Roman"/>
          <w:bCs/>
          <w:sz w:val="18"/>
          <w:szCs w:val="18"/>
        </w:rPr>
        <w:t xml:space="preserve">Asobancaria (2019). </w:t>
      </w:r>
      <w:r>
        <w:rPr>
          <w:rFonts w:ascii="Times New Roman" w:hAnsi="Times New Roman"/>
          <w:bCs/>
          <w:sz w:val="18"/>
          <w:szCs w:val="18"/>
        </w:rPr>
        <w:t>Citado por CPC</w:t>
      </w:r>
      <w:r w:rsidRPr="00C90E1C">
        <w:rPr>
          <w:rFonts w:ascii="Times New Roman" w:hAnsi="Times New Roman"/>
          <w:bCs/>
          <w:sz w:val="18"/>
          <w:szCs w:val="18"/>
        </w:rPr>
        <w:t xml:space="preserve"> </w:t>
      </w:r>
      <w:r>
        <w:rPr>
          <w:rFonts w:ascii="Times New Roman" w:hAnsi="Times New Roman"/>
          <w:bCs/>
          <w:sz w:val="18"/>
          <w:szCs w:val="18"/>
        </w:rPr>
        <w:t>(</w:t>
      </w:r>
      <w:r w:rsidRPr="00C90E1C">
        <w:rPr>
          <w:rFonts w:ascii="Times New Roman" w:hAnsi="Times New Roman"/>
          <w:bCs/>
          <w:sz w:val="18"/>
          <w:szCs w:val="18"/>
        </w:rPr>
        <w:t>2022</w:t>
      </w:r>
      <w:r>
        <w:rPr>
          <w:rFonts w:ascii="Times New Roman" w:hAnsi="Times New Roman"/>
          <w:bCs/>
          <w:sz w:val="18"/>
          <w:szCs w:val="18"/>
        </w:rPr>
        <w:t xml:space="preserve">), p. </w:t>
      </w:r>
      <w:r w:rsidRPr="00C90E1C">
        <w:rPr>
          <w:rFonts w:ascii="Times New Roman" w:hAnsi="Times New Roman"/>
          <w:bCs/>
          <w:sz w:val="18"/>
          <w:szCs w:val="18"/>
        </w:rPr>
        <w:t>383.</w:t>
      </w:r>
    </w:p>
  </w:footnote>
  <w:footnote w:id="28">
    <w:p w14:paraId="621B21C7" w14:textId="77777777" w:rsidR="00476E03" w:rsidRPr="000F1A69" w:rsidRDefault="00476E03">
      <w:pPr>
        <w:pStyle w:val="Textonotapie"/>
        <w:rPr>
          <w:lang w:val="es-CO"/>
        </w:rPr>
      </w:pPr>
      <w:r>
        <w:rPr>
          <w:rStyle w:val="Refdenotaalpie"/>
        </w:rPr>
        <w:footnoteRef/>
      </w:r>
      <w:r>
        <w:t xml:space="preserve"> </w:t>
      </w:r>
      <w:r w:rsidRPr="000F1A69">
        <w:rPr>
          <w:rFonts w:ascii="Times New Roman" w:hAnsi="Times New Roman"/>
          <w:bCs/>
          <w:sz w:val="18"/>
          <w:szCs w:val="18"/>
        </w:rPr>
        <w:t>Co</w:t>
      </w:r>
      <w:r>
        <w:rPr>
          <w:rFonts w:ascii="Times New Roman" w:hAnsi="Times New Roman"/>
          <w:bCs/>
          <w:sz w:val="18"/>
          <w:szCs w:val="18"/>
        </w:rPr>
        <w:t>nsejo Privado de Competitividad</w:t>
      </w:r>
      <w:r w:rsidRPr="000F1A69">
        <w:rPr>
          <w:rFonts w:ascii="Times New Roman" w:hAnsi="Times New Roman"/>
          <w:bCs/>
          <w:sz w:val="18"/>
          <w:szCs w:val="18"/>
        </w:rPr>
        <w:t xml:space="preserve"> </w:t>
      </w:r>
      <w:r>
        <w:rPr>
          <w:rFonts w:ascii="Times New Roman" w:hAnsi="Times New Roman"/>
          <w:bCs/>
          <w:sz w:val="18"/>
          <w:szCs w:val="18"/>
        </w:rPr>
        <w:t>(</w:t>
      </w:r>
      <w:r w:rsidRPr="000F1A69">
        <w:rPr>
          <w:rFonts w:ascii="Times New Roman" w:hAnsi="Times New Roman"/>
          <w:bCs/>
          <w:sz w:val="18"/>
          <w:szCs w:val="18"/>
        </w:rPr>
        <w:t>2022</w:t>
      </w:r>
      <w:r>
        <w:rPr>
          <w:rFonts w:ascii="Times New Roman" w:hAnsi="Times New Roman"/>
          <w:bCs/>
          <w:sz w:val="18"/>
          <w:szCs w:val="18"/>
        </w:rPr>
        <w:t>)</w:t>
      </w:r>
      <w:r w:rsidRPr="000F1A69">
        <w:rPr>
          <w:rFonts w:ascii="Times New Roman" w:hAnsi="Times New Roman"/>
          <w:bCs/>
          <w:sz w:val="18"/>
          <w:szCs w:val="18"/>
        </w:rPr>
        <w:t xml:space="preserve">. </w:t>
      </w:r>
      <w:r w:rsidRPr="000F1A69">
        <w:rPr>
          <w:rFonts w:ascii="Times New Roman" w:hAnsi="Times New Roman"/>
          <w:sz w:val="18"/>
          <w:szCs w:val="18"/>
        </w:rPr>
        <w:t>Informe Nacional de Competitividad 2021-2022</w:t>
      </w:r>
      <w:r>
        <w:rPr>
          <w:rFonts w:ascii="Times New Roman" w:hAnsi="Times New Roman"/>
          <w:bCs/>
          <w:sz w:val="18"/>
          <w:szCs w:val="18"/>
        </w:rPr>
        <w:t>, p. 383.</w:t>
      </w:r>
    </w:p>
  </w:footnote>
  <w:footnote w:id="29">
    <w:p w14:paraId="45EBCC6C" w14:textId="77777777" w:rsidR="00476E03" w:rsidRPr="000F1A69" w:rsidRDefault="00476E03">
      <w:pPr>
        <w:pStyle w:val="Textonotapie"/>
        <w:rPr>
          <w:rFonts w:ascii="Times New Roman" w:hAnsi="Times New Roman"/>
          <w:sz w:val="18"/>
          <w:szCs w:val="18"/>
          <w:lang w:val="es-CO"/>
        </w:rPr>
      </w:pPr>
      <w:r>
        <w:rPr>
          <w:rStyle w:val="Refdenotaalpie"/>
        </w:rPr>
        <w:footnoteRef/>
      </w:r>
      <w:r>
        <w:t xml:space="preserve"> </w:t>
      </w:r>
      <w:r>
        <w:rPr>
          <w:rFonts w:ascii="Times New Roman" w:hAnsi="Times New Roman"/>
          <w:sz w:val="18"/>
          <w:szCs w:val="18"/>
        </w:rPr>
        <w:t>Ibidem.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476E03" w14:paraId="0CC02B2A" w14:textId="77777777" w:rsidTr="003428DB">
      <w:trPr>
        <w:trHeight w:val="454"/>
      </w:trPr>
      <w:tc>
        <w:tcPr>
          <w:tcW w:w="1337" w:type="pct"/>
          <w:vMerge w:val="restart"/>
          <w:tcBorders>
            <w:top w:val="single" w:sz="4" w:space="0" w:color="auto"/>
            <w:left w:val="single" w:sz="4" w:space="0" w:color="auto"/>
            <w:right w:val="single" w:sz="4" w:space="0" w:color="auto"/>
          </w:tcBorders>
          <w:vAlign w:val="center"/>
        </w:tcPr>
        <w:p w14:paraId="0DCFDFFE" w14:textId="77777777" w:rsidR="00476E03" w:rsidRPr="00920985" w:rsidRDefault="00476E03" w:rsidP="00E30442">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7AD0DBBA" w14:textId="77777777" w:rsidR="00476E03" w:rsidRPr="0016229C" w:rsidRDefault="00476E03" w:rsidP="00E30442">
          <w:pPr>
            <w:jc w:val="center"/>
            <w:rPr>
              <w:rFonts w:cs="Arial"/>
              <w:sz w:val="20"/>
            </w:rPr>
          </w:pPr>
          <w:r w:rsidRPr="0016229C">
            <w:rPr>
              <w:rFonts w:cs="Arial"/>
              <w:sz w:val="20"/>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398A6136" w14:textId="77777777" w:rsidR="00476E03" w:rsidRPr="00EA3A02" w:rsidRDefault="00476E03" w:rsidP="00931CDC">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GNV-FO-001</w:t>
          </w:r>
        </w:p>
      </w:tc>
    </w:tr>
    <w:tr w:rsidR="00476E03" w14:paraId="39664AFB" w14:textId="77777777" w:rsidTr="003428DB">
      <w:trPr>
        <w:trHeight w:val="454"/>
      </w:trPr>
      <w:tc>
        <w:tcPr>
          <w:tcW w:w="1337" w:type="pct"/>
          <w:vMerge/>
          <w:tcBorders>
            <w:left w:val="single" w:sz="4" w:space="0" w:color="auto"/>
            <w:right w:val="single" w:sz="4" w:space="0" w:color="auto"/>
          </w:tcBorders>
          <w:vAlign w:val="center"/>
        </w:tcPr>
        <w:p w14:paraId="434495DE" w14:textId="77777777" w:rsidR="00476E03" w:rsidRDefault="00476E03" w:rsidP="00E30442">
          <w:pPr>
            <w:rPr>
              <w:rFonts w:cs="Arial"/>
              <w:sz w:val="16"/>
              <w:szCs w:val="16"/>
            </w:rPr>
          </w:pPr>
        </w:p>
      </w:tc>
      <w:tc>
        <w:tcPr>
          <w:tcW w:w="2398" w:type="pct"/>
          <w:vMerge w:val="restart"/>
          <w:tcBorders>
            <w:top w:val="single" w:sz="4" w:space="0" w:color="auto"/>
            <w:left w:val="nil"/>
            <w:right w:val="single" w:sz="4" w:space="0" w:color="auto"/>
          </w:tcBorders>
          <w:vAlign w:val="center"/>
        </w:tcPr>
        <w:p w14:paraId="3936348C" w14:textId="77777777" w:rsidR="00476E03" w:rsidRPr="00E30442" w:rsidRDefault="00476E03" w:rsidP="00E30442">
          <w:pPr>
            <w:jc w:val="center"/>
            <w:rPr>
              <w:rFonts w:cs="Arial"/>
              <w:sz w:val="20"/>
            </w:rPr>
          </w:pPr>
          <w:r w:rsidRPr="00E30442">
            <w:rPr>
              <w:rFonts w:cs="Arial"/>
              <w:sz w:val="20"/>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6F8AC2F6" w14:textId="77777777" w:rsidR="00476E03" w:rsidRPr="00EA3A02" w:rsidRDefault="00476E03" w:rsidP="00E30442">
          <w:pPr>
            <w:rPr>
              <w:rFonts w:cs="Arial"/>
              <w:sz w:val="16"/>
              <w:szCs w:val="16"/>
            </w:rPr>
          </w:pPr>
          <w:r>
            <w:rPr>
              <w:rFonts w:cs="Arial"/>
              <w:sz w:val="16"/>
              <w:szCs w:val="16"/>
            </w:rPr>
            <w:t>VERSIÓN:    02</w:t>
          </w:r>
        </w:p>
      </w:tc>
    </w:tr>
    <w:tr w:rsidR="00476E03" w14:paraId="3F1C851B" w14:textId="77777777" w:rsidTr="003428DB">
      <w:trPr>
        <w:trHeight w:val="454"/>
      </w:trPr>
      <w:tc>
        <w:tcPr>
          <w:tcW w:w="1337" w:type="pct"/>
          <w:vMerge/>
          <w:tcBorders>
            <w:left w:val="single" w:sz="4" w:space="0" w:color="auto"/>
            <w:bottom w:val="single" w:sz="4" w:space="0" w:color="auto"/>
            <w:right w:val="single" w:sz="4" w:space="0" w:color="auto"/>
          </w:tcBorders>
          <w:vAlign w:val="center"/>
        </w:tcPr>
        <w:p w14:paraId="24576384" w14:textId="77777777" w:rsidR="00476E03" w:rsidRDefault="00476E03" w:rsidP="00E30442">
          <w:pPr>
            <w:rPr>
              <w:rFonts w:cs="Arial"/>
              <w:sz w:val="16"/>
              <w:szCs w:val="16"/>
            </w:rPr>
          </w:pPr>
        </w:p>
      </w:tc>
      <w:tc>
        <w:tcPr>
          <w:tcW w:w="2398" w:type="pct"/>
          <w:vMerge/>
          <w:tcBorders>
            <w:left w:val="nil"/>
            <w:bottom w:val="single" w:sz="4" w:space="0" w:color="auto"/>
            <w:right w:val="single" w:sz="4" w:space="0" w:color="auto"/>
          </w:tcBorders>
          <w:vAlign w:val="center"/>
        </w:tcPr>
        <w:p w14:paraId="47917ABF" w14:textId="77777777" w:rsidR="00476E03" w:rsidRDefault="00476E03" w:rsidP="00E30442">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331EC947" w14:textId="77777777" w:rsidR="00476E03" w:rsidRDefault="00476E03" w:rsidP="00244B11">
          <w:pPr>
            <w:rPr>
              <w:rFonts w:cs="Arial"/>
              <w:sz w:val="16"/>
              <w:szCs w:val="16"/>
            </w:rPr>
          </w:pPr>
          <w:r w:rsidRPr="00EA3A02">
            <w:rPr>
              <w:rFonts w:cs="Arial"/>
              <w:sz w:val="16"/>
              <w:szCs w:val="16"/>
            </w:rPr>
            <w:t>F</w:t>
          </w:r>
          <w:r>
            <w:rPr>
              <w:rFonts w:cs="Arial"/>
              <w:sz w:val="16"/>
              <w:szCs w:val="16"/>
            </w:rPr>
            <w:t>ECHA: 14-Nov-2019</w:t>
          </w:r>
        </w:p>
      </w:tc>
    </w:tr>
  </w:tbl>
  <w:p w14:paraId="442B2E41" w14:textId="77777777" w:rsidR="00476E03" w:rsidRPr="00E30442" w:rsidRDefault="00476E03" w:rsidP="00E30442">
    <w:pPr>
      <w:pStyle w:val="Encabezado"/>
    </w:pPr>
    <w:r w:rsidRPr="00D4338D">
      <w:rPr>
        <w:noProof/>
        <w:lang w:val="es-CO" w:eastAsia="es-CO"/>
      </w:rPr>
      <w:drawing>
        <wp:anchor distT="0" distB="0" distL="114300" distR="114300" simplePos="0" relativeHeight="251662336" behindDoc="1" locked="0" layoutInCell="1" allowOverlap="1" wp14:anchorId="6FBF399A" wp14:editId="1611C122">
          <wp:simplePos x="0" y="0"/>
          <wp:positionH relativeFrom="column">
            <wp:posOffset>441325</wp:posOffset>
          </wp:positionH>
          <wp:positionV relativeFrom="paragraph">
            <wp:posOffset>-890270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463C6"/>
    <w:multiLevelType w:val="hybridMultilevel"/>
    <w:tmpl w:val="1E9A6D5C"/>
    <w:lvl w:ilvl="0" w:tplc="C17A0B10">
      <w:start w:val="1"/>
      <w:numFmt w:val="upperRoman"/>
      <w:lvlText w:val="%1."/>
      <w:lvlJc w:val="left"/>
      <w:pPr>
        <w:ind w:left="1080" w:hanging="720"/>
      </w:pPr>
      <w:rPr>
        <w:rFonts w:ascii="Times New Roman" w:hAnsi="Times New Roman"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46786D"/>
    <w:multiLevelType w:val="hybridMultilevel"/>
    <w:tmpl w:val="015226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FB25B1C"/>
    <w:multiLevelType w:val="hybridMultilevel"/>
    <w:tmpl w:val="668432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4" w15:restartNumberingAfterBreak="0">
    <w:nsid w:val="0FD523C3"/>
    <w:multiLevelType w:val="hybridMultilevel"/>
    <w:tmpl w:val="8E722E88"/>
    <w:lvl w:ilvl="0" w:tplc="1100B13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73A4EC1"/>
    <w:multiLevelType w:val="hybridMultilevel"/>
    <w:tmpl w:val="FA5E7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555E54"/>
    <w:multiLevelType w:val="hybridMultilevel"/>
    <w:tmpl w:val="DA489C86"/>
    <w:lvl w:ilvl="0" w:tplc="E8B8904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8" w15:restartNumberingAfterBreak="0">
    <w:nsid w:val="2DDB5EA6"/>
    <w:multiLevelType w:val="hybridMultilevel"/>
    <w:tmpl w:val="89CA8704"/>
    <w:lvl w:ilvl="0" w:tplc="1C7C168E">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9" w15:restartNumberingAfterBreak="0">
    <w:nsid w:val="307B1436"/>
    <w:multiLevelType w:val="hybridMultilevel"/>
    <w:tmpl w:val="42ECD3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C7067B"/>
    <w:multiLevelType w:val="hybridMultilevel"/>
    <w:tmpl w:val="AF840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4C6350"/>
    <w:multiLevelType w:val="hybridMultilevel"/>
    <w:tmpl w:val="B27E230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E037C19"/>
    <w:multiLevelType w:val="hybridMultilevel"/>
    <w:tmpl w:val="449478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A85D57"/>
    <w:multiLevelType w:val="hybridMultilevel"/>
    <w:tmpl w:val="E3FCD2AC"/>
    <w:lvl w:ilvl="0" w:tplc="1400A8C4">
      <w:start w:val="1"/>
      <w:numFmt w:val="lowerLetter"/>
      <w:lvlText w:val="%1)"/>
      <w:lvlJc w:val="left"/>
      <w:pPr>
        <w:ind w:left="1069"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5" w15:restartNumberingAfterBreak="0">
    <w:nsid w:val="59EB5B2A"/>
    <w:multiLevelType w:val="hybridMultilevel"/>
    <w:tmpl w:val="8892C5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7" w15:restartNumberingAfterBreak="0">
    <w:nsid w:val="67F03A75"/>
    <w:multiLevelType w:val="hybridMultilevel"/>
    <w:tmpl w:val="B63A8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4F53F1"/>
    <w:multiLevelType w:val="hybridMultilevel"/>
    <w:tmpl w:val="C10C71F2"/>
    <w:lvl w:ilvl="0" w:tplc="D9DC6BD2">
      <w:start w:val="1"/>
      <w:numFmt w:val="decimal"/>
      <w:lvlText w:val="%1."/>
      <w:lvlJc w:val="left"/>
      <w:pPr>
        <w:ind w:left="786"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9" w15:restartNumberingAfterBreak="0">
    <w:nsid w:val="70401E89"/>
    <w:multiLevelType w:val="hybridMultilevel"/>
    <w:tmpl w:val="C6180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9105B4"/>
    <w:multiLevelType w:val="hybridMultilevel"/>
    <w:tmpl w:val="C3647A7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C6A48C5"/>
    <w:multiLevelType w:val="hybridMultilevel"/>
    <w:tmpl w:val="5F42C54C"/>
    <w:lvl w:ilvl="0" w:tplc="9C78205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7"/>
  </w:num>
  <w:num w:numId="3">
    <w:abstractNumId w:val="16"/>
  </w:num>
  <w:num w:numId="4">
    <w:abstractNumId w:val="12"/>
  </w:num>
  <w:num w:numId="5">
    <w:abstractNumId w:val="21"/>
  </w:num>
  <w:num w:numId="6">
    <w:abstractNumId w:val="1"/>
  </w:num>
  <w:num w:numId="7">
    <w:abstractNumId w:val="22"/>
  </w:num>
  <w:num w:numId="8">
    <w:abstractNumId w:val="4"/>
  </w:num>
  <w:num w:numId="9">
    <w:abstractNumId w:val="6"/>
  </w:num>
  <w:num w:numId="10">
    <w:abstractNumId w:val="0"/>
  </w:num>
  <w:num w:numId="11">
    <w:abstractNumId w:val="11"/>
  </w:num>
  <w:num w:numId="12">
    <w:abstractNumId w:val="5"/>
  </w:num>
  <w:num w:numId="13">
    <w:abstractNumId w:val="17"/>
  </w:num>
  <w:num w:numId="14">
    <w:abstractNumId w:val="19"/>
  </w:num>
  <w:num w:numId="15">
    <w:abstractNumId w:val="9"/>
  </w:num>
  <w:num w:numId="16">
    <w:abstractNumId w:val="13"/>
  </w:num>
  <w:num w:numId="17">
    <w:abstractNumId w:val="20"/>
  </w:num>
  <w:num w:numId="18">
    <w:abstractNumId w:val="2"/>
  </w:num>
  <w:num w:numId="19">
    <w:abstractNumId w:val="10"/>
  </w:num>
  <w:num w:numId="20">
    <w:abstractNumId w:val="15"/>
  </w:num>
  <w:num w:numId="21">
    <w:abstractNumId w:val="18"/>
  </w:num>
  <w:num w:numId="22">
    <w:abstractNumId w:val="8"/>
  </w:num>
  <w:num w:numId="23">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76EC"/>
    <w:rsid w:val="00010DD3"/>
    <w:rsid w:val="00011269"/>
    <w:rsid w:val="00011801"/>
    <w:rsid w:val="00011BCE"/>
    <w:rsid w:val="00012611"/>
    <w:rsid w:val="00012FEF"/>
    <w:rsid w:val="0001489A"/>
    <w:rsid w:val="000154B2"/>
    <w:rsid w:val="000159EA"/>
    <w:rsid w:val="0002047E"/>
    <w:rsid w:val="00021C2A"/>
    <w:rsid w:val="00021CBC"/>
    <w:rsid w:val="000225D8"/>
    <w:rsid w:val="00025190"/>
    <w:rsid w:val="0002796F"/>
    <w:rsid w:val="00031ABB"/>
    <w:rsid w:val="0003606D"/>
    <w:rsid w:val="0003786D"/>
    <w:rsid w:val="00040A87"/>
    <w:rsid w:val="0004268D"/>
    <w:rsid w:val="000468B2"/>
    <w:rsid w:val="00047D27"/>
    <w:rsid w:val="00050074"/>
    <w:rsid w:val="000512AC"/>
    <w:rsid w:val="00054A48"/>
    <w:rsid w:val="00054C28"/>
    <w:rsid w:val="0005538D"/>
    <w:rsid w:val="000606F2"/>
    <w:rsid w:val="00060C03"/>
    <w:rsid w:val="00063A38"/>
    <w:rsid w:val="00065939"/>
    <w:rsid w:val="00066B89"/>
    <w:rsid w:val="000671C0"/>
    <w:rsid w:val="000721C1"/>
    <w:rsid w:val="0007345E"/>
    <w:rsid w:val="000760FF"/>
    <w:rsid w:val="000769A4"/>
    <w:rsid w:val="000810BC"/>
    <w:rsid w:val="00083B28"/>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4D7"/>
    <w:rsid w:val="000A6C08"/>
    <w:rsid w:val="000B4E23"/>
    <w:rsid w:val="000B4E77"/>
    <w:rsid w:val="000B7C3B"/>
    <w:rsid w:val="000C05B0"/>
    <w:rsid w:val="000C3560"/>
    <w:rsid w:val="000C3623"/>
    <w:rsid w:val="000C482C"/>
    <w:rsid w:val="000D1C54"/>
    <w:rsid w:val="000D2BCE"/>
    <w:rsid w:val="000D50FE"/>
    <w:rsid w:val="000E1909"/>
    <w:rsid w:val="000E3C29"/>
    <w:rsid w:val="000E418B"/>
    <w:rsid w:val="000E4369"/>
    <w:rsid w:val="000E6583"/>
    <w:rsid w:val="000E6B86"/>
    <w:rsid w:val="000F00B1"/>
    <w:rsid w:val="000F1586"/>
    <w:rsid w:val="000F169D"/>
    <w:rsid w:val="000F1A69"/>
    <w:rsid w:val="000F552A"/>
    <w:rsid w:val="00100E1D"/>
    <w:rsid w:val="00101EBD"/>
    <w:rsid w:val="001031C4"/>
    <w:rsid w:val="0010473C"/>
    <w:rsid w:val="00104872"/>
    <w:rsid w:val="00104FEE"/>
    <w:rsid w:val="0010508F"/>
    <w:rsid w:val="00105763"/>
    <w:rsid w:val="00105767"/>
    <w:rsid w:val="00105A20"/>
    <w:rsid w:val="001064EA"/>
    <w:rsid w:val="001067DF"/>
    <w:rsid w:val="00106D51"/>
    <w:rsid w:val="001144A9"/>
    <w:rsid w:val="00115610"/>
    <w:rsid w:val="00120391"/>
    <w:rsid w:val="0012109F"/>
    <w:rsid w:val="00121CCB"/>
    <w:rsid w:val="00121F38"/>
    <w:rsid w:val="00123402"/>
    <w:rsid w:val="00125FA9"/>
    <w:rsid w:val="00127502"/>
    <w:rsid w:val="001277C9"/>
    <w:rsid w:val="001316B7"/>
    <w:rsid w:val="00132BB4"/>
    <w:rsid w:val="00133168"/>
    <w:rsid w:val="00134E79"/>
    <w:rsid w:val="001353FF"/>
    <w:rsid w:val="00135704"/>
    <w:rsid w:val="00135BCB"/>
    <w:rsid w:val="00135C85"/>
    <w:rsid w:val="001363EA"/>
    <w:rsid w:val="001377B6"/>
    <w:rsid w:val="00140AEF"/>
    <w:rsid w:val="001411E5"/>
    <w:rsid w:val="001469EB"/>
    <w:rsid w:val="00146C93"/>
    <w:rsid w:val="0015630E"/>
    <w:rsid w:val="00161BE3"/>
    <w:rsid w:val="0016229C"/>
    <w:rsid w:val="0017605A"/>
    <w:rsid w:val="00176FFA"/>
    <w:rsid w:val="00177AE3"/>
    <w:rsid w:val="001811CD"/>
    <w:rsid w:val="00181CD3"/>
    <w:rsid w:val="00182341"/>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5510"/>
    <w:rsid w:val="001A5ED6"/>
    <w:rsid w:val="001B047D"/>
    <w:rsid w:val="001B11EA"/>
    <w:rsid w:val="001B29AE"/>
    <w:rsid w:val="001B2FC1"/>
    <w:rsid w:val="001C33C1"/>
    <w:rsid w:val="001C6022"/>
    <w:rsid w:val="001C7725"/>
    <w:rsid w:val="001C798A"/>
    <w:rsid w:val="001D0D50"/>
    <w:rsid w:val="001D1FD3"/>
    <w:rsid w:val="001D78E7"/>
    <w:rsid w:val="001E0250"/>
    <w:rsid w:val="001E214B"/>
    <w:rsid w:val="001E5883"/>
    <w:rsid w:val="001E666B"/>
    <w:rsid w:val="001F3794"/>
    <w:rsid w:val="001F6FE2"/>
    <w:rsid w:val="001F72F6"/>
    <w:rsid w:val="001F7DBF"/>
    <w:rsid w:val="00201CD0"/>
    <w:rsid w:val="00203496"/>
    <w:rsid w:val="0020368C"/>
    <w:rsid w:val="00203763"/>
    <w:rsid w:val="0020381D"/>
    <w:rsid w:val="00206907"/>
    <w:rsid w:val="00207B14"/>
    <w:rsid w:val="00210853"/>
    <w:rsid w:val="00211ACD"/>
    <w:rsid w:val="0021240F"/>
    <w:rsid w:val="00213574"/>
    <w:rsid w:val="002142AC"/>
    <w:rsid w:val="00214E28"/>
    <w:rsid w:val="00217EA7"/>
    <w:rsid w:val="002211D8"/>
    <w:rsid w:val="00221CC3"/>
    <w:rsid w:val="00223E4C"/>
    <w:rsid w:val="00223F6A"/>
    <w:rsid w:val="002271E4"/>
    <w:rsid w:val="00230528"/>
    <w:rsid w:val="00232150"/>
    <w:rsid w:val="002334EF"/>
    <w:rsid w:val="0023696D"/>
    <w:rsid w:val="00240C73"/>
    <w:rsid w:val="0024488E"/>
    <w:rsid w:val="00244B11"/>
    <w:rsid w:val="00246E98"/>
    <w:rsid w:val="00253D21"/>
    <w:rsid w:val="0025598E"/>
    <w:rsid w:val="00256A9C"/>
    <w:rsid w:val="00261D8F"/>
    <w:rsid w:val="002623F4"/>
    <w:rsid w:val="00265386"/>
    <w:rsid w:val="00266720"/>
    <w:rsid w:val="002668E4"/>
    <w:rsid w:val="00275E6F"/>
    <w:rsid w:val="002760AB"/>
    <w:rsid w:val="0027684C"/>
    <w:rsid w:val="00282E5F"/>
    <w:rsid w:val="002846D9"/>
    <w:rsid w:val="00286912"/>
    <w:rsid w:val="00290EF7"/>
    <w:rsid w:val="0029282C"/>
    <w:rsid w:val="00295F8B"/>
    <w:rsid w:val="00297F9D"/>
    <w:rsid w:val="002A2530"/>
    <w:rsid w:val="002A6B6E"/>
    <w:rsid w:val="002B17A5"/>
    <w:rsid w:val="002B7B6E"/>
    <w:rsid w:val="002C46E3"/>
    <w:rsid w:val="002C676F"/>
    <w:rsid w:val="002C6B1B"/>
    <w:rsid w:val="002D0E8C"/>
    <w:rsid w:val="002D1A2D"/>
    <w:rsid w:val="002D49D8"/>
    <w:rsid w:val="002D543B"/>
    <w:rsid w:val="002D6CC9"/>
    <w:rsid w:val="002D6D8F"/>
    <w:rsid w:val="002D7C2C"/>
    <w:rsid w:val="002E1BCA"/>
    <w:rsid w:val="002E51A9"/>
    <w:rsid w:val="002E55FA"/>
    <w:rsid w:val="002E57B9"/>
    <w:rsid w:val="002E6969"/>
    <w:rsid w:val="002F03EC"/>
    <w:rsid w:val="002F1EBF"/>
    <w:rsid w:val="002F23F8"/>
    <w:rsid w:val="002F518B"/>
    <w:rsid w:val="002F5C55"/>
    <w:rsid w:val="002F6A4B"/>
    <w:rsid w:val="002F6D52"/>
    <w:rsid w:val="002F797D"/>
    <w:rsid w:val="003008A0"/>
    <w:rsid w:val="00300C97"/>
    <w:rsid w:val="003028C6"/>
    <w:rsid w:val="00304277"/>
    <w:rsid w:val="00305D72"/>
    <w:rsid w:val="00312AFA"/>
    <w:rsid w:val="003134A6"/>
    <w:rsid w:val="00313CF1"/>
    <w:rsid w:val="003204EA"/>
    <w:rsid w:val="00324247"/>
    <w:rsid w:val="00326F06"/>
    <w:rsid w:val="00331948"/>
    <w:rsid w:val="00331CD0"/>
    <w:rsid w:val="00333445"/>
    <w:rsid w:val="00336DDB"/>
    <w:rsid w:val="0033737C"/>
    <w:rsid w:val="00337B0F"/>
    <w:rsid w:val="003428DB"/>
    <w:rsid w:val="00345A63"/>
    <w:rsid w:val="0034706F"/>
    <w:rsid w:val="00347BAB"/>
    <w:rsid w:val="0035605D"/>
    <w:rsid w:val="003564D8"/>
    <w:rsid w:val="00362189"/>
    <w:rsid w:val="00362274"/>
    <w:rsid w:val="00362F45"/>
    <w:rsid w:val="00364183"/>
    <w:rsid w:val="00366B63"/>
    <w:rsid w:val="003673C8"/>
    <w:rsid w:val="0037078D"/>
    <w:rsid w:val="0037340A"/>
    <w:rsid w:val="0037605C"/>
    <w:rsid w:val="00376CA3"/>
    <w:rsid w:val="00377440"/>
    <w:rsid w:val="00380F1E"/>
    <w:rsid w:val="00381225"/>
    <w:rsid w:val="00382EA8"/>
    <w:rsid w:val="003830D4"/>
    <w:rsid w:val="00386881"/>
    <w:rsid w:val="003874C7"/>
    <w:rsid w:val="0039144B"/>
    <w:rsid w:val="00393C83"/>
    <w:rsid w:val="00396B52"/>
    <w:rsid w:val="00397F98"/>
    <w:rsid w:val="003A0EC3"/>
    <w:rsid w:val="003A2596"/>
    <w:rsid w:val="003A43AD"/>
    <w:rsid w:val="003A473B"/>
    <w:rsid w:val="003B0CCC"/>
    <w:rsid w:val="003B1825"/>
    <w:rsid w:val="003B2AF9"/>
    <w:rsid w:val="003B4B01"/>
    <w:rsid w:val="003B5012"/>
    <w:rsid w:val="003B527A"/>
    <w:rsid w:val="003B7BF3"/>
    <w:rsid w:val="003C0158"/>
    <w:rsid w:val="003C429B"/>
    <w:rsid w:val="003C50FB"/>
    <w:rsid w:val="003D0D48"/>
    <w:rsid w:val="003D2E86"/>
    <w:rsid w:val="003D4C5F"/>
    <w:rsid w:val="003D66A1"/>
    <w:rsid w:val="003E0716"/>
    <w:rsid w:val="003E0769"/>
    <w:rsid w:val="003E1D62"/>
    <w:rsid w:val="003E2652"/>
    <w:rsid w:val="003F5CEE"/>
    <w:rsid w:val="003F6AB6"/>
    <w:rsid w:val="003F701C"/>
    <w:rsid w:val="00400E51"/>
    <w:rsid w:val="00402824"/>
    <w:rsid w:val="00403191"/>
    <w:rsid w:val="00404A86"/>
    <w:rsid w:val="00404CBC"/>
    <w:rsid w:val="00405240"/>
    <w:rsid w:val="0040582E"/>
    <w:rsid w:val="00405D94"/>
    <w:rsid w:val="00405EB3"/>
    <w:rsid w:val="00411933"/>
    <w:rsid w:val="0041200F"/>
    <w:rsid w:val="0041576C"/>
    <w:rsid w:val="00417170"/>
    <w:rsid w:val="00417970"/>
    <w:rsid w:val="00417EDE"/>
    <w:rsid w:val="00420498"/>
    <w:rsid w:val="004242F1"/>
    <w:rsid w:val="00425596"/>
    <w:rsid w:val="00426D83"/>
    <w:rsid w:val="004275DB"/>
    <w:rsid w:val="00427A4D"/>
    <w:rsid w:val="00430819"/>
    <w:rsid w:val="004343F3"/>
    <w:rsid w:val="00437D6B"/>
    <w:rsid w:val="00440C1B"/>
    <w:rsid w:val="00447BC5"/>
    <w:rsid w:val="00450808"/>
    <w:rsid w:val="00450B72"/>
    <w:rsid w:val="004514C5"/>
    <w:rsid w:val="00453793"/>
    <w:rsid w:val="004544DF"/>
    <w:rsid w:val="00455548"/>
    <w:rsid w:val="00461C38"/>
    <w:rsid w:val="004702E9"/>
    <w:rsid w:val="00470E60"/>
    <w:rsid w:val="004710E6"/>
    <w:rsid w:val="00472886"/>
    <w:rsid w:val="0047310A"/>
    <w:rsid w:val="0047391F"/>
    <w:rsid w:val="00476B89"/>
    <w:rsid w:val="00476DAB"/>
    <w:rsid w:val="00476E03"/>
    <w:rsid w:val="00486F72"/>
    <w:rsid w:val="0048745C"/>
    <w:rsid w:val="0048771E"/>
    <w:rsid w:val="004918F0"/>
    <w:rsid w:val="00493933"/>
    <w:rsid w:val="004950D4"/>
    <w:rsid w:val="0049598F"/>
    <w:rsid w:val="004A1073"/>
    <w:rsid w:val="004A1730"/>
    <w:rsid w:val="004A345E"/>
    <w:rsid w:val="004B1587"/>
    <w:rsid w:val="004B1D07"/>
    <w:rsid w:val="004B1D6B"/>
    <w:rsid w:val="004B2715"/>
    <w:rsid w:val="004B461E"/>
    <w:rsid w:val="004B4D59"/>
    <w:rsid w:val="004C1893"/>
    <w:rsid w:val="004C19F0"/>
    <w:rsid w:val="004D4AE7"/>
    <w:rsid w:val="004D71BC"/>
    <w:rsid w:val="004E1FDE"/>
    <w:rsid w:val="004E43F6"/>
    <w:rsid w:val="004E54CC"/>
    <w:rsid w:val="004F0318"/>
    <w:rsid w:val="004F26E7"/>
    <w:rsid w:val="004F3EB3"/>
    <w:rsid w:val="004F55D2"/>
    <w:rsid w:val="00501C06"/>
    <w:rsid w:val="00503A21"/>
    <w:rsid w:val="00504C41"/>
    <w:rsid w:val="00506FBD"/>
    <w:rsid w:val="0051018D"/>
    <w:rsid w:val="005144B4"/>
    <w:rsid w:val="005179E2"/>
    <w:rsid w:val="00520D4B"/>
    <w:rsid w:val="00523946"/>
    <w:rsid w:val="00525EB0"/>
    <w:rsid w:val="00532554"/>
    <w:rsid w:val="00532CE4"/>
    <w:rsid w:val="00532F01"/>
    <w:rsid w:val="00540370"/>
    <w:rsid w:val="005411EE"/>
    <w:rsid w:val="005416BC"/>
    <w:rsid w:val="00542B72"/>
    <w:rsid w:val="005439B6"/>
    <w:rsid w:val="00543BF4"/>
    <w:rsid w:val="00546935"/>
    <w:rsid w:val="00551561"/>
    <w:rsid w:val="00552857"/>
    <w:rsid w:val="00553FF1"/>
    <w:rsid w:val="005562F4"/>
    <w:rsid w:val="00557140"/>
    <w:rsid w:val="005575C7"/>
    <w:rsid w:val="005611E8"/>
    <w:rsid w:val="00567225"/>
    <w:rsid w:val="00567511"/>
    <w:rsid w:val="00567E76"/>
    <w:rsid w:val="00571A5A"/>
    <w:rsid w:val="00572B3B"/>
    <w:rsid w:val="00572FE0"/>
    <w:rsid w:val="00574EEF"/>
    <w:rsid w:val="00583340"/>
    <w:rsid w:val="00584BE8"/>
    <w:rsid w:val="00584BF9"/>
    <w:rsid w:val="00591D84"/>
    <w:rsid w:val="00592BFA"/>
    <w:rsid w:val="005933EC"/>
    <w:rsid w:val="0059346F"/>
    <w:rsid w:val="00594DD9"/>
    <w:rsid w:val="0059518E"/>
    <w:rsid w:val="005965E8"/>
    <w:rsid w:val="005A0680"/>
    <w:rsid w:val="005A0937"/>
    <w:rsid w:val="005A3024"/>
    <w:rsid w:val="005A437B"/>
    <w:rsid w:val="005A578B"/>
    <w:rsid w:val="005B0A08"/>
    <w:rsid w:val="005B143F"/>
    <w:rsid w:val="005B273F"/>
    <w:rsid w:val="005B6E32"/>
    <w:rsid w:val="005C212A"/>
    <w:rsid w:val="005C3311"/>
    <w:rsid w:val="005C6F2B"/>
    <w:rsid w:val="005D1C57"/>
    <w:rsid w:val="005D4248"/>
    <w:rsid w:val="005E0653"/>
    <w:rsid w:val="005E0D7D"/>
    <w:rsid w:val="005E0FD4"/>
    <w:rsid w:val="005E3F28"/>
    <w:rsid w:val="005E4F30"/>
    <w:rsid w:val="005E5AC3"/>
    <w:rsid w:val="005F1FF0"/>
    <w:rsid w:val="005F487D"/>
    <w:rsid w:val="006017F9"/>
    <w:rsid w:val="0060483C"/>
    <w:rsid w:val="00604F54"/>
    <w:rsid w:val="00610CCE"/>
    <w:rsid w:val="006143E2"/>
    <w:rsid w:val="00615F57"/>
    <w:rsid w:val="006174A0"/>
    <w:rsid w:val="00620339"/>
    <w:rsid w:val="0062138C"/>
    <w:rsid w:val="00621B63"/>
    <w:rsid w:val="00621D8E"/>
    <w:rsid w:val="0062393F"/>
    <w:rsid w:val="006249B2"/>
    <w:rsid w:val="00625F9C"/>
    <w:rsid w:val="00626FF0"/>
    <w:rsid w:val="00627632"/>
    <w:rsid w:val="00627BF5"/>
    <w:rsid w:val="00631165"/>
    <w:rsid w:val="00631A8C"/>
    <w:rsid w:val="00631E10"/>
    <w:rsid w:val="00633540"/>
    <w:rsid w:val="00633F40"/>
    <w:rsid w:val="00635E45"/>
    <w:rsid w:val="00636068"/>
    <w:rsid w:val="00636603"/>
    <w:rsid w:val="00640728"/>
    <w:rsid w:val="00644457"/>
    <w:rsid w:val="006455D4"/>
    <w:rsid w:val="00645868"/>
    <w:rsid w:val="00646B36"/>
    <w:rsid w:val="00650775"/>
    <w:rsid w:val="00655BE9"/>
    <w:rsid w:val="0066006E"/>
    <w:rsid w:val="00660ACF"/>
    <w:rsid w:val="00661248"/>
    <w:rsid w:val="00661A41"/>
    <w:rsid w:val="006635AC"/>
    <w:rsid w:val="0066403E"/>
    <w:rsid w:val="00666A1F"/>
    <w:rsid w:val="006675EE"/>
    <w:rsid w:val="0067110A"/>
    <w:rsid w:val="006713B4"/>
    <w:rsid w:val="00671FD9"/>
    <w:rsid w:val="00673A95"/>
    <w:rsid w:val="00673BBA"/>
    <w:rsid w:val="00691851"/>
    <w:rsid w:val="006972A3"/>
    <w:rsid w:val="006A13CC"/>
    <w:rsid w:val="006B0FE9"/>
    <w:rsid w:val="006B358E"/>
    <w:rsid w:val="006B3AEA"/>
    <w:rsid w:val="006B3C72"/>
    <w:rsid w:val="006B48EC"/>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5269"/>
    <w:rsid w:val="006D54A8"/>
    <w:rsid w:val="006E0CF7"/>
    <w:rsid w:val="006E165C"/>
    <w:rsid w:val="006E29C6"/>
    <w:rsid w:val="006E46FE"/>
    <w:rsid w:val="006E49F5"/>
    <w:rsid w:val="006F04EF"/>
    <w:rsid w:val="006F069D"/>
    <w:rsid w:val="006F1D13"/>
    <w:rsid w:val="006F2531"/>
    <w:rsid w:val="006F4B02"/>
    <w:rsid w:val="006F4BA8"/>
    <w:rsid w:val="006F63E5"/>
    <w:rsid w:val="0070286D"/>
    <w:rsid w:val="00702B04"/>
    <w:rsid w:val="00704D7A"/>
    <w:rsid w:val="00710811"/>
    <w:rsid w:val="00710910"/>
    <w:rsid w:val="00712B0D"/>
    <w:rsid w:val="007139C4"/>
    <w:rsid w:val="007152D2"/>
    <w:rsid w:val="00717ACF"/>
    <w:rsid w:val="00721876"/>
    <w:rsid w:val="007248C6"/>
    <w:rsid w:val="0072610A"/>
    <w:rsid w:val="00727155"/>
    <w:rsid w:val="007341F6"/>
    <w:rsid w:val="00735F7A"/>
    <w:rsid w:val="00740E80"/>
    <w:rsid w:val="00747568"/>
    <w:rsid w:val="0075276C"/>
    <w:rsid w:val="00754E81"/>
    <w:rsid w:val="00755ED4"/>
    <w:rsid w:val="00756E35"/>
    <w:rsid w:val="00756EBE"/>
    <w:rsid w:val="007616BA"/>
    <w:rsid w:val="007625B2"/>
    <w:rsid w:val="007628CA"/>
    <w:rsid w:val="00764612"/>
    <w:rsid w:val="0076591A"/>
    <w:rsid w:val="0077016F"/>
    <w:rsid w:val="007703E2"/>
    <w:rsid w:val="007718C9"/>
    <w:rsid w:val="00773007"/>
    <w:rsid w:val="00774599"/>
    <w:rsid w:val="007764C5"/>
    <w:rsid w:val="00776D41"/>
    <w:rsid w:val="0078000B"/>
    <w:rsid w:val="00780B2F"/>
    <w:rsid w:val="00780E8B"/>
    <w:rsid w:val="00782CEF"/>
    <w:rsid w:val="0078358A"/>
    <w:rsid w:val="0078495C"/>
    <w:rsid w:val="00785774"/>
    <w:rsid w:val="00786592"/>
    <w:rsid w:val="00786A4E"/>
    <w:rsid w:val="007900AB"/>
    <w:rsid w:val="00791F01"/>
    <w:rsid w:val="00796DAA"/>
    <w:rsid w:val="00797752"/>
    <w:rsid w:val="00797D23"/>
    <w:rsid w:val="007A011B"/>
    <w:rsid w:val="007A327A"/>
    <w:rsid w:val="007A3B80"/>
    <w:rsid w:val="007A4375"/>
    <w:rsid w:val="007A5254"/>
    <w:rsid w:val="007B133B"/>
    <w:rsid w:val="007B1E5E"/>
    <w:rsid w:val="007B3254"/>
    <w:rsid w:val="007B38A0"/>
    <w:rsid w:val="007B3CB7"/>
    <w:rsid w:val="007B4CC9"/>
    <w:rsid w:val="007B5D70"/>
    <w:rsid w:val="007B6500"/>
    <w:rsid w:val="007C1084"/>
    <w:rsid w:val="007C1C9E"/>
    <w:rsid w:val="007C3050"/>
    <w:rsid w:val="007C50D4"/>
    <w:rsid w:val="007C5B82"/>
    <w:rsid w:val="007C7DA3"/>
    <w:rsid w:val="007D4C84"/>
    <w:rsid w:val="007D7645"/>
    <w:rsid w:val="007E0057"/>
    <w:rsid w:val="007E1ED5"/>
    <w:rsid w:val="007E260F"/>
    <w:rsid w:val="007E30ED"/>
    <w:rsid w:val="007E471A"/>
    <w:rsid w:val="007E4956"/>
    <w:rsid w:val="007E4AC3"/>
    <w:rsid w:val="007E7306"/>
    <w:rsid w:val="007E7ED3"/>
    <w:rsid w:val="007F1FB0"/>
    <w:rsid w:val="007F3E1C"/>
    <w:rsid w:val="008021B9"/>
    <w:rsid w:val="00803D0D"/>
    <w:rsid w:val="00806A3D"/>
    <w:rsid w:val="00811186"/>
    <w:rsid w:val="00811587"/>
    <w:rsid w:val="00811FE2"/>
    <w:rsid w:val="0081232F"/>
    <w:rsid w:val="00812F9F"/>
    <w:rsid w:val="00817F9B"/>
    <w:rsid w:val="00822E39"/>
    <w:rsid w:val="008250C2"/>
    <w:rsid w:val="00825259"/>
    <w:rsid w:val="0082590B"/>
    <w:rsid w:val="0082739B"/>
    <w:rsid w:val="00835DF7"/>
    <w:rsid w:val="00836C60"/>
    <w:rsid w:val="00840AF7"/>
    <w:rsid w:val="00840C8F"/>
    <w:rsid w:val="008413ED"/>
    <w:rsid w:val="0084177E"/>
    <w:rsid w:val="008448FC"/>
    <w:rsid w:val="0084548E"/>
    <w:rsid w:val="008531F1"/>
    <w:rsid w:val="00853D70"/>
    <w:rsid w:val="00854273"/>
    <w:rsid w:val="0086221F"/>
    <w:rsid w:val="00864A2A"/>
    <w:rsid w:val="00866D1F"/>
    <w:rsid w:val="00870CF0"/>
    <w:rsid w:val="00872362"/>
    <w:rsid w:val="00874654"/>
    <w:rsid w:val="00874FC9"/>
    <w:rsid w:val="0087777E"/>
    <w:rsid w:val="00880069"/>
    <w:rsid w:val="00881038"/>
    <w:rsid w:val="008814AD"/>
    <w:rsid w:val="008826AA"/>
    <w:rsid w:val="008855E1"/>
    <w:rsid w:val="00885E87"/>
    <w:rsid w:val="00892435"/>
    <w:rsid w:val="00892F18"/>
    <w:rsid w:val="008944B3"/>
    <w:rsid w:val="008944E9"/>
    <w:rsid w:val="008968A5"/>
    <w:rsid w:val="008A0129"/>
    <w:rsid w:val="008A450F"/>
    <w:rsid w:val="008A53F6"/>
    <w:rsid w:val="008A561F"/>
    <w:rsid w:val="008B14D8"/>
    <w:rsid w:val="008B259C"/>
    <w:rsid w:val="008B2FEF"/>
    <w:rsid w:val="008B320F"/>
    <w:rsid w:val="008B49BD"/>
    <w:rsid w:val="008B5112"/>
    <w:rsid w:val="008B57EE"/>
    <w:rsid w:val="008B670C"/>
    <w:rsid w:val="008B7B25"/>
    <w:rsid w:val="008C1D5C"/>
    <w:rsid w:val="008C48B5"/>
    <w:rsid w:val="008C5309"/>
    <w:rsid w:val="008C550D"/>
    <w:rsid w:val="008C6DA7"/>
    <w:rsid w:val="008D0911"/>
    <w:rsid w:val="008D2881"/>
    <w:rsid w:val="008D2980"/>
    <w:rsid w:val="008D3162"/>
    <w:rsid w:val="008D3D4A"/>
    <w:rsid w:val="008D6B13"/>
    <w:rsid w:val="008E033E"/>
    <w:rsid w:val="008E0689"/>
    <w:rsid w:val="008E633F"/>
    <w:rsid w:val="008F07A8"/>
    <w:rsid w:val="008F2592"/>
    <w:rsid w:val="00902124"/>
    <w:rsid w:val="00902F08"/>
    <w:rsid w:val="00905BEA"/>
    <w:rsid w:val="009065B1"/>
    <w:rsid w:val="00906CB2"/>
    <w:rsid w:val="00911342"/>
    <w:rsid w:val="009138D7"/>
    <w:rsid w:val="00916002"/>
    <w:rsid w:val="009161A8"/>
    <w:rsid w:val="0092003E"/>
    <w:rsid w:val="009210C7"/>
    <w:rsid w:val="009212A7"/>
    <w:rsid w:val="009228BA"/>
    <w:rsid w:val="0092615B"/>
    <w:rsid w:val="009266DB"/>
    <w:rsid w:val="00926BEE"/>
    <w:rsid w:val="00927912"/>
    <w:rsid w:val="00931CDC"/>
    <w:rsid w:val="0093336E"/>
    <w:rsid w:val="00936EA1"/>
    <w:rsid w:val="00941B06"/>
    <w:rsid w:val="0094232A"/>
    <w:rsid w:val="00944698"/>
    <w:rsid w:val="00944A25"/>
    <w:rsid w:val="009454BB"/>
    <w:rsid w:val="00954652"/>
    <w:rsid w:val="0096063C"/>
    <w:rsid w:val="009643D3"/>
    <w:rsid w:val="00965A69"/>
    <w:rsid w:val="00965C3E"/>
    <w:rsid w:val="00966CFA"/>
    <w:rsid w:val="00971244"/>
    <w:rsid w:val="009713A7"/>
    <w:rsid w:val="00972016"/>
    <w:rsid w:val="00972952"/>
    <w:rsid w:val="009730CD"/>
    <w:rsid w:val="00976204"/>
    <w:rsid w:val="009779E9"/>
    <w:rsid w:val="00980BD0"/>
    <w:rsid w:val="00981B1A"/>
    <w:rsid w:val="009850F3"/>
    <w:rsid w:val="0098572D"/>
    <w:rsid w:val="00986CAF"/>
    <w:rsid w:val="0098756C"/>
    <w:rsid w:val="0099032A"/>
    <w:rsid w:val="0099051E"/>
    <w:rsid w:val="0099196C"/>
    <w:rsid w:val="009925A2"/>
    <w:rsid w:val="00997C09"/>
    <w:rsid w:val="00997EE9"/>
    <w:rsid w:val="009A01B2"/>
    <w:rsid w:val="009A32E1"/>
    <w:rsid w:val="009A441F"/>
    <w:rsid w:val="009A48D7"/>
    <w:rsid w:val="009A4D9B"/>
    <w:rsid w:val="009A6B27"/>
    <w:rsid w:val="009A71F7"/>
    <w:rsid w:val="009B2260"/>
    <w:rsid w:val="009B3BE2"/>
    <w:rsid w:val="009B42D0"/>
    <w:rsid w:val="009C35C0"/>
    <w:rsid w:val="009C5DA6"/>
    <w:rsid w:val="009C6843"/>
    <w:rsid w:val="009D68C4"/>
    <w:rsid w:val="009E01C9"/>
    <w:rsid w:val="009E14E1"/>
    <w:rsid w:val="009E1A57"/>
    <w:rsid w:val="009E1DDB"/>
    <w:rsid w:val="009E3C0B"/>
    <w:rsid w:val="009E5BB2"/>
    <w:rsid w:val="009E7803"/>
    <w:rsid w:val="009F08CA"/>
    <w:rsid w:val="009F47E3"/>
    <w:rsid w:val="009F5641"/>
    <w:rsid w:val="009F6E61"/>
    <w:rsid w:val="009F7198"/>
    <w:rsid w:val="009F7860"/>
    <w:rsid w:val="00A02547"/>
    <w:rsid w:val="00A04821"/>
    <w:rsid w:val="00A04C9C"/>
    <w:rsid w:val="00A050C3"/>
    <w:rsid w:val="00A15CA6"/>
    <w:rsid w:val="00A17F89"/>
    <w:rsid w:val="00A25529"/>
    <w:rsid w:val="00A3026D"/>
    <w:rsid w:val="00A30BE7"/>
    <w:rsid w:val="00A34CE6"/>
    <w:rsid w:val="00A35EF1"/>
    <w:rsid w:val="00A37361"/>
    <w:rsid w:val="00A43A12"/>
    <w:rsid w:val="00A46AE8"/>
    <w:rsid w:val="00A51B07"/>
    <w:rsid w:val="00A51F84"/>
    <w:rsid w:val="00A528CF"/>
    <w:rsid w:val="00A52B97"/>
    <w:rsid w:val="00A61222"/>
    <w:rsid w:val="00A617E5"/>
    <w:rsid w:val="00A721DC"/>
    <w:rsid w:val="00A72624"/>
    <w:rsid w:val="00A72637"/>
    <w:rsid w:val="00A72D5D"/>
    <w:rsid w:val="00A73737"/>
    <w:rsid w:val="00A74B21"/>
    <w:rsid w:val="00A7601A"/>
    <w:rsid w:val="00A7632C"/>
    <w:rsid w:val="00A77AD3"/>
    <w:rsid w:val="00A77AF9"/>
    <w:rsid w:val="00A804F5"/>
    <w:rsid w:val="00A8158C"/>
    <w:rsid w:val="00A8352F"/>
    <w:rsid w:val="00A83E97"/>
    <w:rsid w:val="00A84651"/>
    <w:rsid w:val="00A8587B"/>
    <w:rsid w:val="00A91A69"/>
    <w:rsid w:val="00A97454"/>
    <w:rsid w:val="00AA27BF"/>
    <w:rsid w:val="00AB2155"/>
    <w:rsid w:val="00AB235B"/>
    <w:rsid w:val="00AB6124"/>
    <w:rsid w:val="00AB750F"/>
    <w:rsid w:val="00AB7579"/>
    <w:rsid w:val="00AC2175"/>
    <w:rsid w:val="00AC3F0F"/>
    <w:rsid w:val="00AC53F8"/>
    <w:rsid w:val="00AD0FAC"/>
    <w:rsid w:val="00AD193F"/>
    <w:rsid w:val="00AD2544"/>
    <w:rsid w:val="00AD4793"/>
    <w:rsid w:val="00AD7C53"/>
    <w:rsid w:val="00AE08B1"/>
    <w:rsid w:val="00AE2566"/>
    <w:rsid w:val="00AE25FA"/>
    <w:rsid w:val="00AE3803"/>
    <w:rsid w:val="00AE5242"/>
    <w:rsid w:val="00AE5259"/>
    <w:rsid w:val="00AE5815"/>
    <w:rsid w:val="00AE7E3B"/>
    <w:rsid w:val="00AF011B"/>
    <w:rsid w:val="00AF0221"/>
    <w:rsid w:val="00AF122C"/>
    <w:rsid w:val="00AF268D"/>
    <w:rsid w:val="00AF344B"/>
    <w:rsid w:val="00AF38CF"/>
    <w:rsid w:val="00AF3B81"/>
    <w:rsid w:val="00AF4C56"/>
    <w:rsid w:val="00AF57FD"/>
    <w:rsid w:val="00B00111"/>
    <w:rsid w:val="00B02DA7"/>
    <w:rsid w:val="00B0388A"/>
    <w:rsid w:val="00B0497F"/>
    <w:rsid w:val="00B060E3"/>
    <w:rsid w:val="00B06CBF"/>
    <w:rsid w:val="00B06F7A"/>
    <w:rsid w:val="00B10363"/>
    <w:rsid w:val="00B11E25"/>
    <w:rsid w:val="00B14984"/>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395F"/>
    <w:rsid w:val="00B560C7"/>
    <w:rsid w:val="00B579DB"/>
    <w:rsid w:val="00B616BC"/>
    <w:rsid w:val="00B61AC9"/>
    <w:rsid w:val="00B649E0"/>
    <w:rsid w:val="00B64A56"/>
    <w:rsid w:val="00B66120"/>
    <w:rsid w:val="00B677FF"/>
    <w:rsid w:val="00B67A63"/>
    <w:rsid w:val="00B67E40"/>
    <w:rsid w:val="00B7149D"/>
    <w:rsid w:val="00B76AA1"/>
    <w:rsid w:val="00B76AC1"/>
    <w:rsid w:val="00B87D9F"/>
    <w:rsid w:val="00B90E2E"/>
    <w:rsid w:val="00B921C6"/>
    <w:rsid w:val="00B9280D"/>
    <w:rsid w:val="00B92A62"/>
    <w:rsid w:val="00B93E2D"/>
    <w:rsid w:val="00B9736A"/>
    <w:rsid w:val="00B97A7A"/>
    <w:rsid w:val="00BA71BB"/>
    <w:rsid w:val="00BA79E5"/>
    <w:rsid w:val="00BB29EA"/>
    <w:rsid w:val="00BB59C2"/>
    <w:rsid w:val="00BB5BCF"/>
    <w:rsid w:val="00BB6C3D"/>
    <w:rsid w:val="00BC2BC8"/>
    <w:rsid w:val="00BC3BCB"/>
    <w:rsid w:val="00BD0BF0"/>
    <w:rsid w:val="00BD2B8A"/>
    <w:rsid w:val="00BD4055"/>
    <w:rsid w:val="00BD4F10"/>
    <w:rsid w:val="00BD698F"/>
    <w:rsid w:val="00BE0063"/>
    <w:rsid w:val="00BE0C57"/>
    <w:rsid w:val="00BE1E1C"/>
    <w:rsid w:val="00BE6915"/>
    <w:rsid w:val="00BE6BB6"/>
    <w:rsid w:val="00BF1BF6"/>
    <w:rsid w:val="00BF4E3A"/>
    <w:rsid w:val="00C003CD"/>
    <w:rsid w:val="00C003E3"/>
    <w:rsid w:val="00C038C2"/>
    <w:rsid w:val="00C038DB"/>
    <w:rsid w:val="00C03F8A"/>
    <w:rsid w:val="00C041DE"/>
    <w:rsid w:val="00C06E6E"/>
    <w:rsid w:val="00C105D7"/>
    <w:rsid w:val="00C1183C"/>
    <w:rsid w:val="00C16F86"/>
    <w:rsid w:val="00C21A97"/>
    <w:rsid w:val="00C24888"/>
    <w:rsid w:val="00C30C3E"/>
    <w:rsid w:val="00C421EE"/>
    <w:rsid w:val="00C435FA"/>
    <w:rsid w:val="00C45435"/>
    <w:rsid w:val="00C45FC6"/>
    <w:rsid w:val="00C52D36"/>
    <w:rsid w:val="00C54AA5"/>
    <w:rsid w:val="00C60EE7"/>
    <w:rsid w:val="00C64FAD"/>
    <w:rsid w:val="00C65C40"/>
    <w:rsid w:val="00C676E6"/>
    <w:rsid w:val="00C7301F"/>
    <w:rsid w:val="00C74723"/>
    <w:rsid w:val="00C75106"/>
    <w:rsid w:val="00C75869"/>
    <w:rsid w:val="00C76B8E"/>
    <w:rsid w:val="00C77B60"/>
    <w:rsid w:val="00C809ED"/>
    <w:rsid w:val="00C80DB6"/>
    <w:rsid w:val="00C81054"/>
    <w:rsid w:val="00C811F6"/>
    <w:rsid w:val="00C82D95"/>
    <w:rsid w:val="00C8312E"/>
    <w:rsid w:val="00C83994"/>
    <w:rsid w:val="00C8470C"/>
    <w:rsid w:val="00C8565D"/>
    <w:rsid w:val="00C90E1C"/>
    <w:rsid w:val="00C92A64"/>
    <w:rsid w:val="00C95659"/>
    <w:rsid w:val="00C95DDD"/>
    <w:rsid w:val="00C97702"/>
    <w:rsid w:val="00CA3D20"/>
    <w:rsid w:val="00CA4080"/>
    <w:rsid w:val="00CA46BA"/>
    <w:rsid w:val="00CA4C11"/>
    <w:rsid w:val="00CB0E79"/>
    <w:rsid w:val="00CB16AB"/>
    <w:rsid w:val="00CB32F0"/>
    <w:rsid w:val="00CB3330"/>
    <w:rsid w:val="00CB638E"/>
    <w:rsid w:val="00CB67C2"/>
    <w:rsid w:val="00CC3DEF"/>
    <w:rsid w:val="00CC73A9"/>
    <w:rsid w:val="00CC754C"/>
    <w:rsid w:val="00CC7888"/>
    <w:rsid w:val="00CD20BE"/>
    <w:rsid w:val="00CD278B"/>
    <w:rsid w:val="00CD3493"/>
    <w:rsid w:val="00CD4CB9"/>
    <w:rsid w:val="00CD512E"/>
    <w:rsid w:val="00CD56C5"/>
    <w:rsid w:val="00CD7064"/>
    <w:rsid w:val="00CD7A63"/>
    <w:rsid w:val="00CE1581"/>
    <w:rsid w:val="00CE497C"/>
    <w:rsid w:val="00CE5425"/>
    <w:rsid w:val="00CF18DE"/>
    <w:rsid w:val="00CF34C4"/>
    <w:rsid w:val="00CF42BD"/>
    <w:rsid w:val="00CF520A"/>
    <w:rsid w:val="00CF6E20"/>
    <w:rsid w:val="00D047A1"/>
    <w:rsid w:val="00D15065"/>
    <w:rsid w:val="00D21723"/>
    <w:rsid w:val="00D21BC4"/>
    <w:rsid w:val="00D23F8B"/>
    <w:rsid w:val="00D24420"/>
    <w:rsid w:val="00D24FF1"/>
    <w:rsid w:val="00D26A44"/>
    <w:rsid w:val="00D30582"/>
    <w:rsid w:val="00D3154F"/>
    <w:rsid w:val="00D339CA"/>
    <w:rsid w:val="00D34468"/>
    <w:rsid w:val="00D34E83"/>
    <w:rsid w:val="00D413F5"/>
    <w:rsid w:val="00D44485"/>
    <w:rsid w:val="00D44F98"/>
    <w:rsid w:val="00D46C60"/>
    <w:rsid w:val="00D470D3"/>
    <w:rsid w:val="00D47BD3"/>
    <w:rsid w:val="00D518A5"/>
    <w:rsid w:val="00D52CE4"/>
    <w:rsid w:val="00D53FFF"/>
    <w:rsid w:val="00D54F32"/>
    <w:rsid w:val="00D56843"/>
    <w:rsid w:val="00D6393F"/>
    <w:rsid w:val="00D667F3"/>
    <w:rsid w:val="00D70711"/>
    <w:rsid w:val="00D74F2A"/>
    <w:rsid w:val="00D75820"/>
    <w:rsid w:val="00D76BF9"/>
    <w:rsid w:val="00D8552B"/>
    <w:rsid w:val="00D86310"/>
    <w:rsid w:val="00D87A13"/>
    <w:rsid w:val="00D90D4F"/>
    <w:rsid w:val="00D9121F"/>
    <w:rsid w:val="00D926E6"/>
    <w:rsid w:val="00D934C1"/>
    <w:rsid w:val="00D9504F"/>
    <w:rsid w:val="00D9773F"/>
    <w:rsid w:val="00DA0716"/>
    <w:rsid w:val="00DA1B32"/>
    <w:rsid w:val="00DA28A1"/>
    <w:rsid w:val="00DB26EE"/>
    <w:rsid w:val="00DB30F0"/>
    <w:rsid w:val="00DB58E0"/>
    <w:rsid w:val="00DC03B9"/>
    <w:rsid w:val="00DC070F"/>
    <w:rsid w:val="00DC1BD1"/>
    <w:rsid w:val="00DC2585"/>
    <w:rsid w:val="00DC31AD"/>
    <w:rsid w:val="00DC38ED"/>
    <w:rsid w:val="00DC6DAB"/>
    <w:rsid w:val="00DC7016"/>
    <w:rsid w:val="00DC76FF"/>
    <w:rsid w:val="00DD26EB"/>
    <w:rsid w:val="00DD3031"/>
    <w:rsid w:val="00DD7435"/>
    <w:rsid w:val="00DE070F"/>
    <w:rsid w:val="00DE0859"/>
    <w:rsid w:val="00DE116F"/>
    <w:rsid w:val="00DE54A7"/>
    <w:rsid w:val="00DE5E0C"/>
    <w:rsid w:val="00DF1870"/>
    <w:rsid w:val="00DF1F2C"/>
    <w:rsid w:val="00DF414A"/>
    <w:rsid w:val="00DF5871"/>
    <w:rsid w:val="00E04DBA"/>
    <w:rsid w:val="00E059F8"/>
    <w:rsid w:val="00E147B4"/>
    <w:rsid w:val="00E14BCC"/>
    <w:rsid w:val="00E15555"/>
    <w:rsid w:val="00E17689"/>
    <w:rsid w:val="00E215D3"/>
    <w:rsid w:val="00E21D8F"/>
    <w:rsid w:val="00E22A86"/>
    <w:rsid w:val="00E26C79"/>
    <w:rsid w:val="00E27267"/>
    <w:rsid w:val="00E30135"/>
    <w:rsid w:val="00E30442"/>
    <w:rsid w:val="00E353FC"/>
    <w:rsid w:val="00E366DD"/>
    <w:rsid w:val="00E36A4C"/>
    <w:rsid w:val="00E378F0"/>
    <w:rsid w:val="00E459C8"/>
    <w:rsid w:val="00E4614A"/>
    <w:rsid w:val="00E46B2B"/>
    <w:rsid w:val="00E50F03"/>
    <w:rsid w:val="00E5344F"/>
    <w:rsid w:val="00E5659A"/>
    <w:rsid w:val="00E56838"/>
    <w:rsid w:val="00E57B75"/>
    <w:rsid w:val="00E63051"/>
    <w:rsid w:val="00E673E8"/>
    <w:rsid w:val="00E70942"/>
    <w:rsid w:val="00E73BD6"/>
    <w:rsid w:val="00E757EE"/>
    <w:rsid w:val="00E7671A"/>
    <w:rsid w:val="00E76E59"/>
    <w:rsid w:val="00E8185D"/>
    <w:rsid w:val="00E8319C"/>
    <w:rsid w:val="00E842CB"/>
    <w:rsid w:val="00E84949"/>
    <w:rsid w:val="00E8662F"/>
    <w:rsid w:val="00E9040C"/>
    <w:rsid w:val="00E92499"/>
    <w:rsid w:val="00E9363B"/>
    <w:rsid w:val="00E97E30"/>
    <w:rsid w:val="00EA0E27"/>
    <w:rsid w:val="00EA142C"/>
    <w:rsid w:val="00EA23A3"/>
    <w:rsid w:val="00EA3483"/>
    <w:rsid w:val="00EA460D"/>
    <w:rsid w:val="00EA5B39"/>
    <w:rsid w:val="00EB126D"/>
    <w:rsid w:val="00EB413F"/>
    <w:rsid w:val="00EB47E3"/>
    <w:rsid w:val="00EB4C84"/>
    <w:rsid w:val="00EB7FC0"/>
    <w:rsid w:val="00EC464B"/>
    <w:rsid w:val="00EC56EE"/>
    <w:rsid w:val="00ED4912"/>
    <w:rsid w:val="00ED6D9A"/>
    <w:rsid w:val="00ED7A55"/>
    <w:rsid w:val="00EE44E4"/>
    <w:rsid w:val="00EE5FA0"/>
    <w:rsid w:val="00EF112F"/>
    <w:rsid w:val="00EF1F53"/>
    <w:rsid w:val="00EF2B1E"/>
    <w:rsid w:val="00EF51EE"/>
    <w:rsid w:val="00EF5211"/>
    <w:rsid w:val="00EF7863"/>
    <w:rsid w:val="00EF7EE2"/>
    <w:rsid w:val="00F008C8"/>
    <w:rsid w:val="00F01206"/>
    <w:rsid w:val="00F0175F"/>
    <w:rsid w:val="00F02C9C"/>
    <w:rsid w:val="00F03AFA"/>
    <w:rsid w:val="00F046BF"/>
    <w:rsid w:val="00F112C3"/>
    <w:rsid w:val="00F115DF"/>
    <w:rsid w:val="00F15190"/>
    <w:rsid w:val="00F165F8"/>
    <w:rsid w:val="00F1670B"/>
    <w:rsid w:val="00F20C35"/>
    <w:rsid w:val="00F2272B"/>
    <w:rsid w:val="00F2358E"/>
    <w:rsid w:val="00F24C01"/>
    <w:rsid w:val="00F27F29"/>
    <w:rsid w:val="00F31906"/>
    <w:rsid w:val="00F3283E"/>
    <w:rsid w:val="00F32D7B"/>
    <w:rsid w:val="00F32EC5"/>
    <w:rsid w:val="00F34159"/>
    <w:rsid w:val="00F3587F"/>
    <w:rsid w:val="00F3733C"/>
    <w:rsid w:val="00F442B0"/>
    <w:rsid w:val="00F454E2"/>
    <w:rsid w:val="00F50E96"/>
    <w:rsid w:val="00F520DB"/>
    <w:rsid w:val="00F5225E"/>
    <w:rsid w:val="00F542D8"/>
    <w:rsid w:val="00F56373"/>
    <w:rsid w:val="00F645B1"/>
    <w:rsid w:val="00F7189F"/>
    <w:rsid w:val="00F814C1"/>
    <w:rsid w:val="00F82F09"/>
    <w:rsid w:val="00F877BF"/>
    <w:rsid w:val="00F87AB2"/>
    <w:rsid w:val="00F90F6B"/>
    <w:rsid w:val="00F945A3"/>
    <w:rsid w:val="00FA005F"/>
    <w:rsid w:val="00FA0793"/>
    <w:rsid w:val="00FA08C7"/>
    <w:rsid w:val="00FA0D0E"/>
    <w:rsid w:val="00FA11DA"/>
    <w:rsid w:val="00FA3230"/>
    <w:rsid w:val="00FA3B98"/>
    <w:rsid w:val="00FA5812"/>
    <w:rsid w:val="00FA5D7B"/>
    <w:rsid w:val="00FB03A1"/>
    <w:rsid w:val="00FB187F"/>
    <w:rsid w:val="00FB2DEE"/>
    <w:rsid w:val="00FB4839"/>
    <w:rsid w:val="00FB6289"/>
    <w:rsid w:val="00FB76E5"/>
    <w:rsid w:val="00FB7A01"/>
    <w:rsid w:val="00FB7B9D"/>
    <w:rsid w:val="00FC3796"/>
    <w:rsid w:val="00FC560C"/>
    <w:rsid w:val="00FD05D8"/>
    <w:rsid w:val="00FD0C4A"/>
    <w:rsid w:val="00FD2C0A"/>
    <w:rsid w:val="00FD327C"/>
    <w:rsid w:val="00FD38D9"/>
    <w:rsid w:val="00FD4C08"/>
    <w:rsid w:val="00FD5AC1"/>
    <w:rsid w:val="00FD60F3"/>
    <w:rsid w:val="00FD66EA"/>
    <w:rsid w:val="00FD7BC1"/>
    <w:rsid w:val="00FE0354"/>
    <w:rsid w:val="00FE047B"/>
    <w:rsid w:val="00FE2CE8"/>
    <w:rsid w:val="00FE5EFC"/>
    <w:rsid w:val="00FE6381"/>
    <w:rsid w:val="00FF0FBC"/>
    <w:rsid w:val="00FF25E0"/>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DF26742"/>
  <w15:docId w15:val="{BE7A4F2E-B520-4F39-807D-8DF86F483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142C"/>
    <w:rPr>
      <w:rFonts w:ascii="Arial" w:hAnsi="Arial"/>
      <w:color w:val="000000"/>
      <w:sz w:val="24"/>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DC76FF"/>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rsid w:val="005C6F2B"/>
    <w:rPr>
      <w:rFonts w:ascii="Arial" w:hAnsi="Arial"/>
      <w:color w:val="000000"/>
      <w:sz w:val="24"/>
    </w:rPr>
  </w:style>
  <w:style w:type="paragraph" w:styleId="NormalWeb">
    <w:name w:val="Normal (Web)"/>
    <w:basedOn w:val="Normal"/>
    <w:uiPriority w:val="99"/>
    <w:semiHidden/>
    <w:unhideWhenUsed/>
    <w:rsid w:val="00207B14"/>
    <w:pPr>
      <w:spacing w:before="100" w:beforeAutospacing="1" w:after="100" w:afterAutospacing="1"/>
    </w:pPr>
    <w:rPr>
      <w:rFonts w:ascii="Times New Roman" w:hAnsi="Times New Roman"/>
      <w:color w:val="auto"/>
      <w:szCs w:val="24"/>
      <w:lang w:val="en-US" w:eastAsia="en-US"/>
    </w:rPr>
  </w:style>
  <w:style w:type="character" w:styleId="Textoennegrita">
    <w:name w:val="Strong"/>
    <w:basedOn w:val="Fuentedeprrafopredeter"/>
    <w:uiPriority w:val="22"/>
    <w:qFormat/>
    <w:locked/>
    <w:rsid w:val="0075276C"/>
    <w:rPr>
      <w:b/>
      <w:bCs/>
    </w:rPr>
  </w:style>
  <w:style w:type="paragraph" w:styleId="Textonotaalfinal">
    <w:name w:val="endnote text"/>
    <w:basedOn w:val="Normal"/>
    <w:link w:val="TextonotaalfinalCar"/>
    <w:uiPriority w:val="99"/>
    <w:semiHidden/>
    <w:unhideWhenUsed/>
    <w:rsid w:val="00C8470C"/>
    <w:rPr>
      <w:sz w:val="20"/>
    </w:rPr>
  </w:style>
  <w:style w:type="character" w:customStyle="1" w:styleId="TextonotaalfinalCar">
    <w:name w:val="Texto nota al final Car"/>
    <w:basedOn w:val="Fuentedeprrafopredeter"/>
    <w:link w:val="Textonotaalfinal"/>
    <w:uiPriority w:val="99"/>
    <w:semiHidden/>
    <w:rsid w:val="00C8470C"/>
    <w:rPr>
      <w:rFonts w:ascii="Arial" w:hAnsi="Arial"/>
      <w:color w:val="000000"/>
    </w:rPr>
  </w:style>
  <w:style w:type="character" w:styleId="Refdenotaalfinal">
    <w:name w:val="endnote reference"/>
    <w:basedOn w:val="Fuentedeprrafopredeter"/>
    <w:uiPriority w:val="99"/>
    <w:semiHidden/>
    <w:unhideWhenUsed/>
    <w:rsid w:val="00C8470C"/>
    <w:rPr>
      <w:vertAlign w:val="superscript"/>
    </w:rPr>
  </w:style>
  <w:style w:type="paragraph" w:styleId="Textonotapie">
    <w:name w:val="footnote text"/>
    <w:basedOn w:val="Normal"/>
    <w:link w:val="TextonotapieCar"/>
    <w:uiPriority w:val="99"/>
    <w:semiHidden/>
    <w:unhideWhenUsed/>
    <w:rsid w:val="00C8470C"/>
    <w:rPr>
      <w:sz w:val="20"/>
    </w:rPr>
  </w:style>
  <w:style w:type="character" w:customStyle="1" w:styleId="TextonotapieCar">
    <w:name w:val="Texto nota pie Car"/>
    <w:basedOn w:val="Fuentedeprrafopredeter"/>
    <w:link w:val="Textonotapie"/>
    <w:uiPriority w:val="99"/>
    <w:semiHidden/>
    <w:rsid w:val="00C8470C"/>
    <w:rPr>
      <w:rFonts w:ascii="Arial" w:hAnsi="Arial"/>
      <w:color w:val="000000"/>
    </w:rPr>
  </w:style>
  <w:style w:type="character" w:styleId="Refdenotaalpie">
    <w:name w:val="footnote reference"/>
    <w:basedOn w:val="Fuentedeprrafopredeter"/>
    <w:uiPriority w:val="99"/>
    <w:semiHidden/>
    <w:unhideWhenUsed/>
    <w:rsid w:val="00C8470C"/>
    <w:rPr>
      <w:vertAlign w:val="superscript"/>
    </w:rPr>
  </w:style>
  <w:style w:type="paragraph" w:styleId="Bibliografa">
    <w:name w:val="Bibliography"/>
    <w:basedOn w:val="Normal"/>
    <w:next w:val="Normal"/>
    <w:uiPriority w:val="37"/>
    <w:unhideWhenUsed/>
    <w:rsid w:val="00C8470C"/>
  </w:style>
  <w:style w:type="character" w:customStyle="1" w:styleId="Ttulo3Car">
    <w:name w:val="Título 3 Car"/>
    <w:basedOn w:val="Fuentedeprrafopredeter"/>
    <w:link w:val="Ttulo3"/>
    <w:semiHidden/>
    <w:rsid w:val="00DC76FF"/>
    <w:rPr>
      <w:rFonts w:asciiTheme="majorHAnsi" w:eastAsiaTheme="majorEastAsia" w:hAnsiTheme="majorHAnsi" w:cstheme="majorBidi"/>
      <w:color w:val="243F60" w:themeColor="accent1" w:themeShade="7F"/>
      <w:sz w:val="24"/>
      <w:szCs w:val="24"/>
    </w:rPr>
  </w:style>
  <w:style w:type="character" w:customStyle="1" w:styleId="UnresolvedMention">
    <w:name w:val="Unresolved Mention"/>
    <w:basedOn w:val="Fuentedeprrafopredeter"/>
    <w:uiPriority w:val="99"/>
    <w:semiHidden/>
    <w:unhideWhenUsed/>
    <w:rsid w:val="00B9280D"/>
    <w:rPr>
      <w:color w:val="605E5C"/>
      <w:shd w:val="clear" w:color="auto" w:fill="E1DFDD"/>
    </w:rPr>
  </w:style>
  <w:style w:type="character" w:styleId="Hipervnculovisitado">
    <w:name w:val="FollowedHyperlink"/>
    <w:basedOn w:val="Fuentedeprrafopredeter"/>
    <w:uiPriority w:val="99"/>
    <w:semiHidden/>
    <w:unhideWhenUsed/>
    <w:rsid w:val="00B539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1498">
      <w:bodyDiv w:val="1"/>
      <w:marLeft w:val="0"/>
      <w:marRight w:val="0"/>
      <w:marTop w:val="0"/>
      <w:marBottom w:val="0"/>
      <w:divBdr>
        <w:top w:val="none" w:sz="0" w:space="0" w:color="auto"/>
        <w:left w:val="none" w:sz="0" w:space="0" w:color="auto"/>
        <w:bottom w:val="none" w:sz="0" w:space="0" w:color="auto"/>
        <w:right w:val="none" w:sz="0" w:space="0" w:color="auto"/>
      </w:divBdr>
    </w:div>
    <w:div w:id="208031358">
      <w:bodyDiv w:val="1"/>
      <w:marLeft w:val="0"/>
      <w:marRight w:val="0"/>
      <w:marTop w:val="0"/>
      <w:marBottom w:val="0"/>
      <w:divBdr>
        <w:top w:val="none" w:sz="0" w:space="0" w:color="auto"/>
        <w:left w:val="none" w:sz="0" w:space="0" w:color="auto"/>
        <w:bottom w:val="none" w:sz="0" w:space="0" w:color="auto"/>
        <w:right w:val="none" w:sz="0" w:space="0" w:color="auto"/>
      </w:divBdr>
    </w:div>
    <w:div w:id="244268860">
      <w:bodyDiv w:val="1"/>
      <w:marLeft w:val="0"/>
      <w:marRight w:val="0"/>
      <w:marTop w:val="0"/>
      <w:marBottom w:val="0"/>
      <w:divBdr>
        <w:top w:val="none" w:sz="0" w:space="0" w:color="auto"/>
        <w:left w:val="none" w:sz="0" w:space="0" w:color="auto"/>
        <w:bottom w:val="none" w:sz="0" w:space="0" w:color="auto"/>
        <w:right w:val="none" w:sz="0" w:space="0" w:color="auto"/>
      </w:divBdr>
    </w:div>
    <w:div w:id="667638695">
      <w:bodyDiv w:val="1"/>
      <w:marLeft w:val="0"/>
      <w:marRight w:val="0"/>
      <w:marTop w:val="0"/>
      <w:marBottom w:val="0"/>
      <w:divBdr>
        <w:top w:val="none" w:sz="0" w:space="0" w:color="auto"/>
        <w:left w:val="none" w:sz="0" w:space="0" w:color="auto"/>
        <w:bottom w:val="none" w:sz="0" w:space="0" w:color="auto"/>
        <w:right w:val="none" w:sz="0" w:space="0" w:color="auto"/>
      </w:divBdr>
    </w:div>
    <w:div w:id="686106136">
      <w:bodyDiv w:val="1"/>
      <w:marLeft w:val="0"/>
      <w:marRight w:val="0"/>
      <w:marTop w:val="0"/>
      <w:marBottom w:val="0"/>
      <w:divBdr>
        <w:top w:val="none" w:sz="0" w:space="0" w:color="auto"/>
        <w:left w:val="none" w:sz="0" w:space="0" w:color="auto"/>
        <w:bottom w:val="none" w:sz="0" w:space="0" w:color="auto"/>
        <w:right w:val="none" w:sz="0" w:space="0" w:color="auto"/>
      </w:divBdr>
    </w:div>
    <w:div w:id="693458682">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870264487">
      <w:bodyDiv w:val="1"/>
      <w:marLeft w:val="0"/>
      <w:marRight w:val="0"/>
      <w:marTop w:val="0"/>
      <w:marBottom w:val="0"/>
      <w:divBdr>
        <w:top w:val="none" w:sz="0" w:space="0" w:color="auto"/>
        <w:left w:val="none" w:sz="0" w:space="0" w:color="auto"/>
        <w:bottom w:val="none" w:sz="0" w:space="0" w:color="auto"/>
        <w:right w:val="none" w:sz="0" w:space="0" w:color="auto"/>
      </w:divBdr>
    </w:div>
    <w:div w:id="1134249874">
      <w:bodyDiv w:val="1"/>
      <w:marLeft w:val="0"/>
      <w:marRight w:val="0"/>
      <w:marTop w:val="0"/>
      <w:marBottom w:val="0"/>
      <w:divBdr>
        <w:top w:val="none" w:sz="0" w:space="0" w:color="auto"/>
        <w:left w:val="none" w:sz="0" w:space="0" w:color="auto"/>
        <w:bottom w:val="none" w:sz="0" w:space="0" w:color="auto"/>
        <w:right w:val="none" w:sz="0" w:space="0" w:color="auto"/>
      </w:divBdr>
    </w:div>
    <w:div w:id="1215854631">
      <w:bodyDiv w:val="1"/>
      <w:marLeft w:val="0"/>
      <w:marRight w:val="0"/>
      <w:marTop w:val="0"/>
      <w:marBottom w:val="0"/>
      <w:divBdr>
        <w:top w:val="none" w:sz="0" w:space="0" w:color="auto"/>
        <w:left w:val="none" w:sz="0" w:space="0" w:color="auto"/>
        <w:bottom w:val="none" w:sz="0" w:space="0" w:color="auto"/>
        <w:right w:val="none" w:sz="0" w:space="0" w:color="auto"/>
      </w:divBdr>
    </w:div>
    <w:div w:id="1327246807">
      <w:bodyDiv w:val="1"/>
      <w:marLeft w:val="0"/>
      <w:marRight w:val="0"/>
      <w:marTop w:val="0"/>
      <w:marBottom w:val="0"/>
      <w:divBdr>
        <w:top w:val="none" w:sz="0" w:space="0" w:color="auto"/>
        <w:left w:val="none" w:sz="0" w:space="0" w:color="auto"/>
        <w:bottom w:val="none" w:sz="0" w:space="0" w:color="auto"/>
        <w:right w:val="none" w:sz="0" w:space="0" w:color="auto"/>
      </w:divBdr>
    </w:div>
    <w:div w:id="1457022557">
      <w:bodyDiv w:val="1"/>
      <w:marLeft w:val="0"/>
      <w:marRight w:val="0"/>
      <w:marTop w:val="0"/>
      <w:marBottom w:val="0"/>
      <w:divBdr>
        <w:top w:val="none" w:sz="0" w:space="0" w:color="auto"/>
        <w:left w:val="none" w:sz="0" w:space="0" w:color="auto"/>
        <w:bottom w:val="none" w:sz="0" w:space="0" w:color="auto"/>
        <w:right w:val="none" w:sz="0" w:space="0" w:color="auto"/>
      </w:divBdr>
    </w:div>
    <w:div w:id="1490487816">
      <w:bodyDiv w:val="1"/>
      <w:marLeft w:val="0"/>
      <w:marRight w:val="0"/>
      <w:marTop w:val="0"/>
      <w:marBottom w:val="0"/>
      <w:divBdr>
        <w:top w:val="none" w:sz="0" w:space="0" w:color="auto"/>
        <w:left w:val="none" w:sz="0" w:space="0" w:color="auto"/>
        <w:bottom w:val="none" w:sz="0" w:space="0" w:color="auto"/>
        <w:right w:val="none" w:sz="0" w:space="0" w:color="auto"/>
      </w:divBdr>
    </w:div>
    <w:div w:id="1542090822">
      <w:bodyDiv w:val="1"/>
      <w:marLeft w:val="0"/>
      <w:marRight w:val="0"/>
      <w:marTop w:val="0"/>
      <w:marBottom w:val="0"/>
      <w:divBdr>
        <w:top w:val="none" w:sz="0" w:space="0" w:color="auto"/>
        <w:left w:val="none" w:sz="0" w:space="0" w:color="auto"/>
        <w:bottom w:val="none" w:sz="0" w:space="0" w:color="auto"/>
        <w:right w:val="none" w:sz="0" w:space="0" w:color="auto"/>
      </w:divBdr>
    </w:div>
    <w:div w:id="1699089801">
      <w:bodyDiv w:val="1"/>
      <w:marLeft w:val="0"/>
      <w:marRight w:val="0"/>
      <w:marTop w:val="0"/>
      <w:marBottom w:val="0"/>
      <w:divBdr>
        <w:top w:val="none" w:sz="0" w:space="0" w:color="auto"/>
        <w:left w:val="none" w:sz="0" w:space="0" w:color="auto"/>
        <w:bottom w:val="none" w:sz="0" w:space="0" w:color="auto"/>
        <w:right w:val="none" w:sz="0" w:space="0" w:color="auto"/>
      </w:divBdr>
    </w:div>
    <w:div w:id="1841382015">
      <w:bodyDiv w:val="1"/>
      <w:marLeft w:val="0"/>
      <w:marRight w:val="0"/>
      <w:marTop w:val="0"/>
      <w:marBottom w:val="0"/>
      <w:divBdr>
        <w:top w:val="none" w:sz="0" w:space="0" w:color="auto"/>
        <w:left w:val="none" w:sz="0" w:space="0" w:color="auto"/>
        <w:bottom w:val="none" w:sz="0" w:space="0" w:color="auto"/>
        <w:right w:val="none" w:sz="0" w:space="0" w:color="auto"/>
      </w:divBdr>
    </w:div>
    <w:div w:id="2004576911">
      <w:bodyDiv w:val="1"/>
      <w:marLeft w:val="0"/>
      <w:marRight w:val="0"/>
      <w:marTop w:val="0"/>
      <w:marBottom w:val="0"/>
      <w:divBdr>
        <w:top w:val="none" w:sz="0" w:space="0" w:color="auto"/>
        <w:left w:val="none" w:sz="0" w:space="0" w:color="auto"/>
        <w:bottom w:val="none" w:sz="0" w:space="0" w:color="auto"/>
        <w:right w:val="none" w:sz="0" w:space="0" w:color="auto"/>
      </w:divBdr>
    </w:div>
    <w:div w:id="2081515039">
      <w:bodyDiv w:val="1"/>
      <w:marLeft w:val="0"/>
      <w:marRight w:val="0"/>
      <w:marTop w:val="0"/>
      <w:marBottom w:val="0"/>
      <w:divBdr>
        <w:top w:val="none" w:sz="0" w:space="0" w:color="auto"/>
        <w:left w:val="none" w:sz="0" w:space="0" w:color="auto"/>
        <w:bottom w:val="none" w:sz="0" w:space="0" w:color="auto"/>
        <w:right w:val="none" w:sz="0" w:space="0" w:color="auto"/>
      </w:divBdr>
    </w:div>
    <w:div w:id="2095738048">
      <w:bodyDiv w:val="1"/>
      <w:marLeft w:val="0"/>
      <w:marRight w:val="0"/>
      <w:marTop w:val="0"/>
      <w:marBottom w:val="0"/>
      <w:divBdr>
        <w:top w:val="none" w:sz="0" w:space="0" w:color="auto"/>
        <w:left w:val="none" w:sz="0" w:space="0" w:color="auto"/>
        <w:bottom w:val="none" w:sz="0" w:space="0" w:color="auto"/>
        <w:right w:val="none" w:sz="0" w:space="0" w:color="auto"/>
      </w:divBdr>
    </w:div>
    <w:div w:id="213451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notes.xml.rels><?xml version="1.0" encoding="UTF-8" standalone="yes"?>
<Relationships xmlns="http://schemas.openxmlformats.org/package/2006/relationships"><Relationship Id="rId8" Type="http://schemas.openxmlformats.org/officeDocument/2006/relationships/hyperlink" Target="https://academiabogotaproductiva.gov.co/" TargetMode="External"/><Relationship Id="rId13" Type="http://schemas.openxmlformats.org/officeDocument/2006/relationships/hyperlink" Target="https://www.ccb.org.co/servicios/haz-crecer-tu-empresa/innovacion-empresarial/networking-y-red-de-inversionistas" TargetMode="External"/><Relationship Id="rId3" Type="http://schemas.openxmlformats.org/officeDocument/2006/relationships/hyperlink" Target="https://observatorio.desarrolloeconomico.gov.co/wp-content/uploads/2025/08/Bol-DinEmpre-N-050.pdf" TargetMode="External"/><Relationship Id="rId7" Type="http://schemas.openxmlformats.org/officeDocument/2006/relationships/hyperlink" Target="https://www.sdp.gov.co/sites/default/files/hecho_en_bogota.pdf" TargetMode="External"/><Relationship Id="rId12" Type="http://schemas.openxmlformats.org/officeDocument/2006/relationships/hyperlink" Target="https://www.ccb.org.co/informacion-especializada/observatorio/dinamica-empresarial/empresas-canceladas" TargetMode="External"/><Relationship Id="rId2" Type="http://schemas.openxmlformats.org/officeDocument/2006/relationships/hyperlink" Target="https://compite.com.co/wp-content/uploads/d9a1c3ab-51b2-482c-8efe-ebf336df21a0.pdf" TargetMode="External"/><Relationship Id="rId1" Type="http://schemas.openxmlformats.org/officeDocument/2006/relationships/hyperlink" Target="https://img.lalr.co/cms/2023/05/16174901/ESTUDIO-SUPERVIVENCIA-MAYO-9-1_compressed.pdf" TargetMode="External"/><Relationship Id="rId6" Type="http://schemas.openxmlformats.org/officeDocument/2006/relationships/hyperlink" Target="https://www.deloitte.com/content/dam/assets-zone4/latam/es/docs/services/financial-advisory/2025/Estudio-de-la-industria-2025.pdf" TargetMode="External"/><Relationship Id="rId11" Type="http://schemas.openxmlformats.org/officeDocument/2006/relationships/hyperlink" Target="https://www.ccb.org.co/informacion-especializada/observatorio/dinamica-empresarial/empresas-creadas" TargetMode="External"/><Relationship Id="rId5" Type="http://schemas.openxmlformats.org/officeDocument/2006/relationships/hyperlink" Target="https://compite.com.co/wp-content/uploads/INC_COMPLETO_PAG-INDIVIDUAL.pdf" TargetMode="External"/><Relationship Id="rId10" Type="http://schemas.openxmlformats.org/officeDocument/2006/relationships/hyperlink" Target="https://www.sdp.gov.co/sites/default/files/hecho_en_bogota.pdf" TargetMode="External"/><Relationship Id="rId4" Type="http://schemas.openxmlformats.org/officeDocument/2006/relationships/hyperlink" Target="https://compite.com.co/wp-content/uploads/INC-2024.pdf" TargetMode="External"/><Relationship Id="rId9" Type="http://schemas.openxmlformats.org/officeDocument/2006/relationships/hyperlink" Target="https://www.sdp.gov.co/sites/default/files/hecho_en_bogota.pdf" TargetMode="External"/><Relationship Id="rId14" Type="http://schemas.openxmlformats.org/officeDocument/2006/relationships/hyperlink" Target="https://www.deloitte.com/content/dam/assets-zone4/latam/es/docs/services/financial-advisory/2025/Estudio-de-la-industria-202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Sán11</b:Tag>
    <b:SourceType>JournalArticle</b:SourceType>
    <b:Guid>{506E95E2-B051-4FF3-B5F1-04CC26C4E8E4}</b:Guid>
    <b:Title>Industrialización Regional, Café y Capital Humano en Colombia en la primera mitad del siglo XX</b:Title>
    <b:Year>2011</b:Year>
    <b:JournalName>Facultad de Economía Universidad de los Andes</b:JournalName>
    <b:Author>
      <b:Author>
        <b:NameList>
          <b:Person>
            <b:Last>Sánchez Torres</b:Last>
            <b:First>Fabio</b:First>
          </b:Person>
          <b:Person>
            <b:Last>España Eljaiek</b:Last>
            <b:First>Irina</b:First>
          </b:Person>
        </b:NameList>
      </b:Author>
    </b:Author>
    <b:URL>https://economia.uniandes.edu.co/sites/default/files/imagenes/eventos/Industrializacionregional-IrinaEspana-FSanchez.pdf</b:URL>
    <b:RefOrder>1</b:RefOrder>
  </b:Source>
  <b:Source>
    <b:Tag>Oca21</b:Tag>
    <b:SourceType>Book</b:SourceType>
    <b:Guid>{A1EA3508-0235-4899-80E1-8CD5EEC482BC}</b:Guid>
    <b:Title>Una Historia del Sistema Finaciero Colombiano 1870 - 2021</b:Title>
    <b:Year>2021</b:Year>
    <b:Publisher>Asobancaria</b:Publisher>
    <b:Author>
      <b:Author>
        <b:NameList>
          <b:Person>
            <b:Last>Ocampo</b:Last>
            <b:First>José Antonio</b:First>
          </b:Person>
        </b:NameList>
      </b:Author>
    </b:Author>
    <b:URL>https://www.asobancaria.com/wp-content/uploads/2022/06/Una_historia_del_sistema_financiero-colombiano-1870-2021_WEB_V30062022.pdf</b:URL>
    <b:RefOrder>2</b:RefOrder>
  </b:Source>
  <b:Source>
    <b:Tag>Gon24</b:Tag>
    <b:SourceType>InternetSite</b:SourceType>
    <b:Guid>{D27B75DA-CFFB-48EC-B2D3-0D2D9FB210F3}</b:Guid>
    <b:Title>Una mirada a las MiPymes en Colombia</b:Title>
    <b:Year>2024</b:Year>
    <b:InternetSiteTitle>BBVA Research </b:InternetSiteTitle>
    <b:URL>https://www.bbvaresearch.com/wp-content/uploads/2024/02/202401_MiPymes_Colombia-1.pdf</b:URL>
    <b:Author>
      <b:Author>
        <b:NameList>
          <b:Person>
            <b:Last>González Patiño</b:Last>
            <b:First>Juan Sebastián</b:First>
          </b:Person>
          <b:Person>
            <b:Last>Llanes Valenzuela</b:Last>
            <b:First>María Claudia</b:First>
          </b:Person>
        </b:NameList>
      </b:Author>
    </b:Author>
    <b:RefOrder>3</b:RefOrder>
  </b:Source>
  <b:Source>
    <b:Tag>LaI76</b:Tag>
    <b:SourceType>JournalArticle</b:SourceType>
    <b:Guid>{AFC02E8B-1E0A-4C71-9770-1A9903B06D7D}</b:Guid>
    <b:Title>La Industrialización en Colombia: problema político o probrema económico</b:Title>
    <b:JournalName>Fedesarrollo</b:JournalName>
    <b:Year>1976</b:Year>
    <b:URL>https://www.repository.fedesarrollo.org.co/bitstream/handle/11445/2827/Co_Eco_Diciembre_1976_Garcia.pdf?sequence=2&amp;isAllowed=y</b:URL>
    <b:Author>
      <b:Author>
        <b:NameList>
          <b:Person>
            <b:Last>García</b:Last>
            <b:First>Jorge</b:First>
            <b:Middle>García</b:Middle>
          </b:Person>
        </b:NameList>
      </b:Author>
    </b:Author>
    <b:RefOrder>4</b:RefOrder>
  </b:Source>
  <b:Source>
    <b:Tag>Ech06</b:Tag>
    <b:SourceType>JournalArticle</b:SourceType>
    <b:Guid>{88E0059B-DAC9-4387-9AA5-AE5010BB8305}</b:Guid>
    <b:Title>El Proceso Colombiano de Desindustrialización</b:Title>
    <b:JournalName>Banco de la República</b:JournalName>
    <b:Year>2006</b:Year>
    <b:Author>
      <b:Author>
        <b:NameList>
          <b:Person>
            <b:Last>Echavarría </b:Last>
            <b:First>Juan José</b:First>
          </b:Person>
          <b:Person>
            <b:Last>Villamizar</b:Last>
            <b:First>Mauricio</b:First>
          </b:Person>
        </b:NameList>
      </b:Author>
    </b:Author>
    <b:URL>https://www.banrep.gov.co/docum/ftp/borra361.pdf</b:URL>
    <b:RefOrder>5</b:RefOrder>
  </b:Source>
  <b:Source>
    <b:Tag>Con25</b:Tag>
    <b:SourceType>Report</b:SourceType>
    <b:Guid>{D4C85FE2-1A35-4D0F-8F66-E24A59D10F97}</b:Guid>
    <b:Author>
      <b:Author>
        <b:Corporate>Consejo Privado de Competitividad</b:Corporate>
      </b:Author>
    </b:Author>
    <b:Title>Informe Nacional de Competitividad 2024-2025</b:Title>
    <b:Year>2025</b:Year>
    <b:URL>https://compite.com.co/wp-content/uploads/INC-2024.pdf</b:URL>
    <b:RefOrder>6</b:RefOrder>
  </b:Source>
  <b:Source>
    <b:Tag>Con24</b:Tag>
    <b:SourceType>Report</b:SourceType>
    <b:Guid>{BA8BE4D2-E57A-415E-A2ED-A79C26756C6E}</b:Guid>
    <b:Author>
      <b:Author>
        <b:Corporate>Consejo Privado de Competitividad</b:Corporate>
      </b:Author>
    </b:Author>
    <b:Title>Informe Nacional de Competitividad 2023-2024</b:Title>
    <b:Year>2024</b:Year>
    <b:URL>https://compite.com.co/wp-content/uploads/INC_COMPLETO_PAG-INDIVIDUAL.pdf</b:URL>
    <b:RefOrder>7</b:RefOrder>
  </b:Source>
  <b:Source>
    <b:Tag>Con</b:Tag>
    <b:SourceType>Report</b:SourceType>
    <b:Guid>{1B75FD41-36B3-4B58-850A-67E53770E9E2}</b:Guid>
    <b:Author>
      <b:Author>
        <b:Corporate>Consejo Privado de Competitividad</b:Corporate>
      </b:Author>
    </b:Author>
    <b:Title>Informe Nacional de Competitividad 2022-2023</b:Title>
    <b:URL>https://compite.com.co/wp-content/uploads/CPC_INC_2022_InformeFinal_Pagindividual.pdf</b:URL>
    <b:Year>2023</b:Year>
    <b:RefOrder>8</b:RefOrder>
  </b:Source>
  <b:Source>
    <b:Tag>Con22</b:Tag>
    <b:SourceType>Report</b:SourceType>
    <b:Guid>{310DFA54-B933-4619-B939-13EE8C05FE07}</b:Guid>
    <b:Title>Informe Nacional de Competitividad 2021-2022</b:Title>
    <b:Year>2022</b:Year>
    <b:Author>
      <b:Author>
        <b:Corporate>Consejo Privado de Competitividad</b:Corporate>
      </b:Author>
    </b:Author>
    <b:URL>https://compite.com.co/wp-content/uploads/d9a1c3ab-51b2-482c-8efe-ebf336df21a0.pdf</b:URL>
    <b:RefOrder>9</b:RefOrder>
  </b:Source>
  <b:Source>
    <b:Tag>Col25</b:Tag>
    <b:SourceType>Report</b:SourceType>
    <b:Guid>{E6C10FBB-34D5-4116-AACF-5EFA30ACEA4F}</b:Guid>
    <b:Title>Industria de capital Privado en Colombia: Reporte 2023-2024</b:Title>
    <b:Year>2025</b:Year>
    <b:Author>
      <b:Author>
        <b:Corporate>ColCapital</b:Corporate>
      </b:Author>
    </b:Author>
    <b:URL>https://colcapital.org/wp-content/uploads/2024/05/Reporte-Industria-de-Capital-Privado-Colombia-2023-2024-2.pdf</b:URL>
    <b:RefOrder>10</b:RefOrder>
  </b:Source>
  <b:Source>
    <b:Tag>CON23</b:Tag>
    <b:SourceType>DocumentFromInternetSite</b:SourceType>
    <b:Guid>{5A9AC586-9D63-444E-930A-FEC195B2A5FD}</b:Guid>
    <b:Author>
      <b:Author>
        <b:Corporate>CONFECÁMARAS</b:Corporate>
      </b:Author>
    </b:Author>
    <b:Title>La Supervivencia Empresarial en Colombia: Estudio de los factores clave que impulsan la permanencia de las empresas en el mercado</b:Title>
    <b:Year>2023</b:Year>
    <b:URL>https://incp.org.co/wp-content/uploads/2023/05/Informe-de-supervivencia-empresarial-Confecamaras.pdf</b:URL>
    <b:RefOrder>11</b:RefOrder>
  </b:Source>
</b:Sources>
</file>

<file path=customXml/itemProps1.xml><?xml version="1.0" encoding="utf-8"?>
<ds:datastoreItem xmlns:ds="http://schemas.openxmlformats.org/officeDocument/2006/customXml" ds:itemID="{B46C3613-2E44-4E3E-A549-7F0B276E5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9750</Words>
  <Characters>57197</Characters>
  <Application>Microsoft Office Word</Application>
  <DocSecurity>0</DocSecurity>
  <Lines>476</Lines>
  <Paragraphs>133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MEMORANDO</vt:lpstr>
      <vt:lpstr>MEMORANDO</vt:lpstr>
    </vt:vector>
  </TitlesOfParts>
  <Company>CONCEJO SANTAFE DE BOGOTA</Company>
  <LinksUpToDate>false</LinksUpToDate>
  <CharactersWithSpaces>66814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MORRISON TARQUINO DAZA</cp:lastModifiedBy>
  <cp:revision>2</cp:revision>
  <cp:lastPrinted>2025-09-12T20:30:00Z</cp:lastPrinted>
  <dcterms:created xsi:type="dcterms:W3CDTF">2025-09-24T17:08:00Z</dcterms:created>
  <dcterms:modified xsi:type="dcterms:W3CDTF">2025-09-24T17:08:00Z</dcterms:modified>
</cp:coreProperties>
</file>